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0D" w:rsidRDefault="00474CB3" w:rsidP="00EC0D0D">
      <w:pPr>
        <w:ind w:left="-851"/>
      </w:pPr>
      <w:r>
        <w:rPr>
          <w:noProof/>
          <w:lang w:eastAsia="en-GB"/>
        </w:rPr>
        <mc:AlternateContent>
          <mc:Choice Requires="wps">
            <w:drawing>
              <wp:anchor distT="0" distB="0" distL="114300" distR="114300" simplePos="0" relativeHeight="251659264" behindDoc="0" locked="0" layoutInCell="1" allowOverlap="1" wp14:anchorId="20DB37CE" wp14:editId="14F88F43">
                <wp:simplePos x="0" y="0"/>
                <wp:positionH relativeFrom="column">
                  <wp:posOffset>-314325</wp:posOffset>
                </wp:positionH>
                <wp:positionV relativeFrom="paragraph">
                  <wp:posOffset>304800</wp:posOffset>
                </wp:positionV>
                <wp:extent cx="346329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329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1FCB" w:rsidRPr="00923042" w:rsidRDefault="00923042">
                            <w:pPr>
                              <w:rPr>
                                <w:sz w:val="36"/>
                              </w:rPr>
                            </w:pPr>
                            <w:r w:rsidRPr="00923042">
                              <w:rPr>
                                <w:sz w:val="36"/>
                              </w:rPr>
                              <w:t>Finance</w:t>
                            </w:r>
                            <w:r w:rsidR="00EB71BF">
                              <w:rPr>
                                <w:sz w:val="36"/>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75pt;margin-top:24pt;width:272.7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" filled="f" stroked="f" strokeweight=".5pt">
                <v:textbox>
                  <w:txbxContent>
                    <w:p w:rsidR="009D1FCB" w:rsidRPr="00923042" w:rsidRDefault="00923042">
                      <w:pPr>
                        <w:rPr>
                          <w:sz w:val="36"/>
                        </w:rPr>
                      </w:pPr>
                      <w:r w:rsidRPr="00923042">
                        <w:rPr>
                          <w:sz w:val="36"/>
                        </w:rPr>
                        <w:t>Finance</w:t>
                      </w:r>
                      <w:r w:rsidR="00EB71BF">
                        <w:rPr>
                          <w:sz w:val="36"/>
                        </w:rPr>
                        <w:t xml:space="preserve"> Services</w:t>
                      </w:r>
                    </w:p>
                  </w:txbxContent>
                </v:textbox>
              </v:shape>
            </w:pict>
          </mc:Fallback>
        </mc:AlternateContent>
      </w:r>
      <w:r w:rsidR="00EC0D0D">
        <w:rPr>
          <w:noProof/>
          <w:lang w:eastAsia="en-GB"/>
        </w:rPr>
        <mc:AlternateContent>
          <mc:Choice Requires="wps">
            <w:drawing>
              <wp:anchor distT="0" distB="0" distL="114300" distR="114300" simplePos="0" relativeHeight="251662336" behindDoc="0" locked="0" layoutInCell="1" allowOverlap="1" wp14:anchorId="78BFE52A" wp14:editId="74C76784">
                <wp:simplePos x="0" y="0"/>
                <wp:positionH relativeFrom="column">
                  <wp:posOffset>-318655</wp:posOffset>
                </wp:positionH>
                <wp:positionV relativeFrom="paragraph">
                  <wp:posOffset>1796935</wp:posOffset>
                </wp:positionV>
                <wp:extent cx="4267200" cy="149629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67200" cy="1496290"/>
                        </a:xfrm>
                        <a:prstGeom prst="rect">
                          <a:avLst/>
                        </a:prstGeom>
                        <a:noFill/>
                        <a:ln w="6350">
                          <a:noFill/>
                        </a:ln>
                        <a:effectLst/>
                      </wps:spPr>
                      <wps:txbx>
                        <w:txbxContent>
                          <w:p w:rsidR="00EC0D0D" w:rsidRPr="00EC0D0D" w:rsidRDefault="00EC0D0D" w:rsidP="00EC0D0D">
                            <w:pPr>
                              <w:rPr>
                                <w:b/>
                                <w:color w:val="FFFFFF" w:themeColor="background1"/>
                                <w:sz w:val="48"/>
                              </w:rPr>
                            </w:pPr>
                            <w:r w:rsidRPr="00EC0D0D">
                              <w:rPr>
                                <w:b/>
                                <w:color w:val="FFFFFF" w:themeColor="background1"/>
                                <w:sz w:val="48"/>
                              </w:rPr>
                              <w:t>Risk Management Strategy</w:t>
                            </w:r>
                          </w:p>
                          <w:p w:rsidR="00EC0D0D" w:rsidRDefault="00EC0D0D" w:rsidP="00EC0D0D">
                            <w:pPr>
                              <w:rPr>
                                <w:b/>
                                <w:color w:val="FFFFFF" w:themeColor="background1"/>
                                <w:sz w:val="36"/>
                              </w:rPr>
                            </w:pPr>
                            <w:r>
                              <w:rPr>
                                <w:b/>
                                <w:color w:val="FFFFFF" w:themeColor="background1"/>
                                <w:sz w:val="36"/>
                              </w:rPr>
                              <w:t>June 2014</w:t>
                            </w:r>
                          </w:p>
                          <w:p w:rsidR="00EC0D0D" w:rsidRPr="00EC0D0D" w:rsidRDefault="00EC0D0D" w:rsidP="00EC0D0D">
                            <w:pPr>
                              <w:rPr>
                                <w:b/>
                                <w:color w:val="FFFFFF" w:themeColor="background1"/>
                                <w:sz w:val="36"/>
                              </w:rPr>
                            </w:pPr>
                            <w:r>
                              <w:rPr>
                                <w:b/>
                                <w:color w:val="FFFFFF" w:themeColor="background1"/>
                                <w:sz w:val="36"/>
                              </w:rPr>
                              <w:t xml:space="preserve">Version </w:t>
                            </w:r>
                            <w:r w:rsidR="00FE7E4F">
                              <w:rPr>
                                <w:b/>
                                <w:color w:val="FFFFFF" w:themeColor="background1"/>
                                <w:sz w:val="36"/>
                              </w:rPr>
                              <w:t>4</w:t>
                            </w:r>
                            <w:r>
                              <w:rPr>
                                <w:b/>
                                <w:color w:val="FFFFFF" w:themeColor="background1"/>
                                <w:sz w:val="3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1pt;margin-top:141.5pt;width:336pt;height:1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" filled="f" stroked="f" strokeweight=".5pt">
                <v:textbox>
                  <w:txbxContent>
                    <w:p w:rsidR="00EC0D0D" w:rsidRPr="00EC0D0D" w:rsidRDefault="00EC0D0D" w:rsidP="00EC0D0D">
                      <w:pPr>
                        <w:rPr>
                          <w:b/>
                          <w:color w:val="FFFFFF" w:themeColor="background1"/>
                          <w:sz w:val="48"/>
                        </w:rPr>
                      </w:pPr>
                      <w:r w:rsidRPr="00EC0D0D">
                        <w:rPr>
                          <w:b/>
                          <w:color w:val="FFFFFF" w:themeColor="background1"/>
                          <w:sz w:val="48"/>
                        </w:rPr>
                        <w:t>Risk Management Strategy</w:t>
                      </w:r>
                    </w:p>
                    <w:p w:rsidR="00EC0D0D" w:rsidRDefault="00EC0D0D" w:rsidP="00EC0D0D">
                      <w:pPr>
                        <w:rPr>
                          <w:b/>
                          <w:color w:val="FFFFFF" w:themeColor="background1"/>
                          <w:sz w:val="36"/>
                        </w:rPr>
                      </w:pPr>
                      <w:r>
                        <w:rPr>
                          <w:b/>
                          <w:color w:val="FFFFFF" w:themeColor="background1"/>
                          <w:sz w:val="36"/>
                        </w:rPr>
                        <w:t>June 2014</w:t>
                      </w:r>
                    </w:p>
                    <w:p w:rsidR="00EC0D0D" w:rsidRPr="00EC0D0D" w:rsidRDefault="00EC0D0D" w:rsidP="00EC0D0D">
                      <w:pPr>
                        <w:rPr>
                          <w:b/>
                          <w:color w:val="FFFFFF" w:themeColor="background1"/>
                          <w:sz w:val="36"/>
                        </w:rPr>
                      </w:pPr>
                      <w:r>
                        <w:rPr>
                          <w:b/>
                          <w:color w:val="FFFFFF" w:themeColor="background1"/>
                          <w:sz w:val="36"/>
                        </w:rPr>
                        <w:t xml:space="preserve">Version </w:t>
                      </w:r>
                      <w:r w:rsidR="00FE7E4F">
                        <w:rPr>
                          <w:b/>
                          <w:color w:val="FFFFFF" w:themeColor="background1"/>
                          <w:sz w:val="36"/>
                        </w:rPr>
                        <w:t>4</w:t>
                      </w:r>
                      <w:r>
                        <w:rPr>
                          <w:b/>
                          <w:color w:val="FFFFFF" w:themeColor="background1"/>
                          <w:sz w:val="36"/>
                        </w:rPr>
                        <w:t>.0</w:t>
                      </w:r>
                    </w:p>
                  </w:txbxContent>
                </v:textbox>
              </v:shape>
            </w:pict>
          </mc:Fallback>
        </mc:AlternateContent>
      </w:r>
      <w:r w:rsidR="00EC0D0D">
        <w:rPr>
          <w:noProof/>
          <w:lang w:eastAsia="en-GB"/>
        </w:rPr>
        <mc:AlternateContent>
          <mc:Choice Requires="wps">
            <w:drawing>
              <wp:anchor distT="0" distB="0" distL="114300" distR="114300" simplePos="0" relativeHeight="251658240" behindDoc="1" locked="0" layoutInCell="1" allowOverlap="1" wp14:anchorId="0A0C1F25" wp14:editId="0E137243">
                <wp:simplePos x="0" y="0"/>
                <wp:positionH relativeFrom="column">
                  <wp:posOffset>-653415</wp:posOffset>
                </wp:positionH>
                <wp:positionV relativeFrom="paragraph">
                  <wp:posOffset>-441960</wp:posOffset>
                </wp:positionV>
                <wp:extent cx="7353300" cy="10640695"/>
                <wp:effectExtent l="0" t="0" r="0" b="8255"/>
                <wp:wrapTight wrapText="bothSides">
                  <wp:wrapPolygon edited="0">
                    <wp:start x="112" y="0"/>
                    <wp:lineTo x="112" y="21578"/>
                    <wp:lineTo x="21432" y="21578"/>
                    <wp:lineTo x="21432" y="0"/>
                    <wp:lineTo x="112"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064069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1FCB" w:rsidRDefault="009D1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1.45pt;margin-top:-34.8pt;width:579pt;height:8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" filled="f" fillcolor="#363c92" stroked="f">
                <v:textbox>
                  <w:txbxContent>
                    <w:p w:rsidR="009D1FCB" w:rsidRDefault="009D1FCB"/>
                  </w:txbxContent>
                </v:textbox>
                <w10:wrap type="tight"/>
              </v:shape>
            </w:pict>
          </mc:Fallback>
        </mc:AlternateContent>
      </w:r>
      <w:bookmarkStart w:id="0" w:name="_GoBack"/>
      <w:r w:rsidR="00EC0D0D">
        <w:rPr>
          <w:noProof/>
          <w:lang w:eastAsia="en-GB"/>
        </w:rPr>
        <w:drawing>
          <wp:inline distT="0" distB="0" distL="0" distR="0" wp14:anchorId="7B632513" wp14:editId="2592343A">
            <wp:extent cx="7010400" cy="8791851"/>
            <wp:effectExtent l="0" t="0" r="0" b="9525"/>
            <wp:docPr id="1" name="Picture 1" descr="A4 (A5) portrait repor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5) portrait report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0" cy="8791851"/>
                    </a:xfrm>
                    <a:prstGeom prst="rect">
                      <a:avLst/>
                    </a:prstGeom>
                    <a:noFill/>
                    <a:ln>
                      <a:noFill/>
                    </a:ln>
                  </pic:spPr>
                </pic:pic>
              </a:graphicData>
            </a:graphic>
          </wp:inline>
        </w:drawing>
      </w:r>
      <w:bookmarkEnd w:id="0"/>
    </w:p>
    <w:p w:rsidR="00BB3831" w:rsidRPr="00BB3831" w:rsidRDefault="00BB3831" w:rsidP="00BB3831">
      <w:pPr>
        <w:spacing w:after="0" w:line="240" w:lineRule="auto"/>
        <w:jc w:val="center"/>
        <w:rPr>
          <w:rFonts w:ascii="Verdana" w:eastAsia="Times New Roman" w:hAnsi="Verdana" w:cs="Arial"/>
          <w:b/>
          <w:sz w:val="24"/>
          <w:szCs w:val="24"/>
        </w:rPr>
      </w:pPr>
      <w:r w:rsidRPr="00BB3831">
        <w:rPr>
          <w:rFonts w:ascii="Verdana" w:eastAsia="Times New Roman" w:hAnsi="Verdana" w:cs="Arial"/>
          <w:b/>
          <w:sz w:val="24"/>
          <w:szCs w:val="24"/>
        </w:rPr>
        <w:lastRenderedPageBreak/>
        <w:t>Risk Management Strategy</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Contents Page</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before="60" w:after="60" w:line="240" w:lineRule="auto"/>
        <w:rPr>
          <w:rFonts w:ascii="Verdana" w:eastAsia="Times New Roman" w:hAnsi="Verdana" w:cs="Arial"/>
          <w:sz w:val="24"/>
          <w:szCs w:val="24"/>
        </w:rPr>
      </w:pPr>
      <w:r w:rsidRPr="00474CB3">
        <w:rPr>
          <w:rFonts w:ascii="Verdana" w:eastAsia="Times New Roman" w:hAnsi="Verdana" w:cs="Arial"/>
          <w:sz w:val="24"/>
          <w:szCs w:val="24"/>
        </w:rPr>
        <w:t>1</w:t>
      </w:r>
      <w:r w:rsidRPr="00BB3831">
        <w:rPr>
          <w:rFonts w:ascii="Verdana" w:eastAsia="Times New Roman" w:hAnsi="Verdana" w:cs="Arial"/>
          <w:sz w:val="20"/>
        </w:rPr>
        <w:tab/>
      </w:r>
      <w:r w:rsidRPr="00BB3831">
        <w:rPr>
          <w:rFonts w:ascii="Verdana" w:eastAsia="Times New Roman" w:hAnsi="Verdana" w:cs="Arial"/>
          <w:sz w:val="24"/>
          <w:szCs w:val="24"/>
        </w:rPr>
        <w:t>Aim</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2</w:t>
      </w:r>
      <w:r w:rsidRPr="00BB3831">
        <w:rPr>
          <w:rFonts w:ascii="Verdana" w:eastAsia="Times New Roman" w:hAnsi="Verdana" w:cs="Arial"/>
          <w:sz w:val="24"/>
          <w:szCs w:val="24"/>
        </w:rPr>
        <w:tab/>
        <w:t>Purpose of the Strategy</w:t>
      </w:r>
    </w:p>
    <w:p w:rsidR="00BB3831" w:rsidRPr="00BB3831" w:rsidRDefault="00BB3831" w:rsidP="00BB3831">
      <w:pPr>
        <w:keepNext/>
        <w:spacing w:after="0" w:line="240" w:lineRule="auto"/>
        <w:outlineLvl w:val="4"/>
        <w:rPr>
          <w:rFonts w:ascii="Verdana" w:eastAsia="Times New Roman" w:hAnsi="Verdana" w:cs="Arial"/>
          <w:sz w:val="24"/>
          <w:szCs w:val="24"/>
        </w:rPr>
      </w:pPr>
      <w:r w:rsidRPr="00BB3831">
        <w:rPr>
          <w:rFonts w:ascii="Verdana" w:eastAsia="Times New Roman" w:hAnsi="Verdana" w:cs="Arial"/>
          <w:sz w:val="24"/>
          <w:szCs w:val="24"/>
        </w:rPr>
        <w:t>3</w:t>
      </w:r>
      <w:r w:rsidRPr="00BB3831">
        <w:rPr>
          <w:rFonts w:ascii="Verdana" w:eastAsia="Times New Roman" w:hAnsi="Verdana" w:cs="Arial"/>
          <w:sz w:val="24"/>
          <w:szCs w:val="24"/>
        </w:rPr>
        <w:tab/>
        <w:t>Strategy Review &amp; Approval</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4</w:t>
      </w:r>
      <w:r w:rsidRPr="00BB3831">
        <w:rPr>
          <w:rFonts w:ascii="Verdana" w:eastAsia="Times New Roman" w:hAnsi="Verdana" w:cs="Arial"/>
          <w:sz w:val="24"/>
          <w:szCs w:val="24"/>
        </w:rPr>
        <w:tab/>
        <w:t xml:space="preserve">Definition of Risk </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5</w:t>
      </w:r>
      <w:r w:rsidRPr="00BB3831">
        <w:rPr>
          <w:rFonts w:ascii="Verdana" w:eastAsia="Times New Roman" w:hAnsi="Verdana" w:cs="Arial"/>
          <w:sz w:val="24"/>
          <w:szCs w:val="24"/>
        </w:rPr>
        <w:tab/>
        <w:t xml:space="preserve">Definition of Risk Management </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6</w:t>
      </w:r>
      <w:r w:rsidRPr="00BB3831">
        <w:rPr>
          <w:rFonts w:ascii="Verdana" w:eastAsia="Times New Roman" w:hAnsi="Verdana" w:cs="Arial"/>
          <w:sz w:val="24"/>
          <w:szCs w:val="24"/>
        </w:rPr>
        <w:tab/>
        <w:t>The regulatory requirements for risk management</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7</w:t>
      </w:r>
      <w:r w:rsidRPr="00BB3831">
        <w:rPr>
          <w:rFonts w:ascii="Verdana" w:eastAsia="Times New Roman" w:hAnsi="Verdana" w:cs="Arial"/>
          <w:sz w:val="24"/>
          <w:szCs w:val="24"/>
        </w:rPr>
        <w:tab/>
        <w:t>The benefits of risk management</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8</w:t>
      </w:r>
      <w:r w:rsidRPr="00BB3831">
        <w:rPr>
          <w:rFonts w:ascii="Verdana" w:eastAsia="Times New Roman" w:hAnsi="Verdana" w:cs="Arial"/>
          <w:sz w:val="24"/>
          <w:szCs w:val="24"/>
        </w:rPr>
        <w:tab/>
        <w:t xml:space="preserve">Risk Management </w:t>
      </w:r>
      <w:r w:rsidR="00CC475F">
        <w:rPr>
          <w:rFonts w:ascii="Verdana" w:eastAsia="Times New Roman" w:hAnsi="Verdana" w:cs="Arial"/>
          <w:sz w:val="24"/>
          <w:szCs w:val="24"/>
        </w:rPr>
        <w:t>o</w:t>
      </w:r>
      <w:r w:rsidRPr="00BB3831">
        <w:rPr>
          <w:rFonts w:ascii="Verdana" w:eastAsia="Times New Roman" w:hAnsi="Verdana" w:cs="Arial"/>
          <w:sz w:val="24"/>
          <w:szCs w:val="24"/>
        </w:rPr>
        <w:t>bjectives</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9</w:t>
      </w:r>
      <w:r w:rsidRPr="00BB3831">
        <w:rPr>
          <w:rFonts w:ascii="Verdana" w:eastAsia="Times New Roman" w:hAnsi="Verdana" w:cs="Arial"/>
          <w:sz w:val="24"/>
          <w:szCs w:val="24"/>
        </w:rPr>
        <w:tab/>
        <w:t>Risk Management Approach</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ab/>
      </w:r>
      <w:r w:rsidRPr="00BB3831">
        <w:rPr>
          <w:rFonts w:ascii="Verdana" w:eastAsia="Times New Roman" w:hAnsi="Verdana" w:cs="Arial"/>
          <w:sz w:val="24"/>
          <w:szCs w:val="24"/>
        </w:rPr>
        <w:tab/>
        <w:t>9.1 Risk Management Cycle</w:t>
      </w:r>
    </w:p>
    <w:p w:rsidR="00BB3831" w:rsidRPr="00BB3831" w:rsidRDefault="00BB3831" w:rsidP="00BB3831">
      <w:pPr>
        <w:spacing w:before="60" w:after="60" w:line="240" w:lineRule="auto"/>
        <w:ind w:left="720" w:firstLine="720"/>
        <w:rPr>
          <w:rFonts w:ascii="Verdana" w:eastAsia="Times New Roman" w:hAnsi="Verdana" w:cs="Arial"/>
          <w:sz w:val="24"/>
          <w:szCs w:val="24"/>
        </w:rPr>
      </w:pPr>
      <w:r w:rsidRPr="00BB3831">
        <w:rPr>
          <w:rFonts w:ascii="Verdana" w:eastAsia="Times New Roman" w:hAnsi="Verdana" w:cs="Arial"/>
          <w:sz w:val="24"/>
          <w:szCs w:val="24"/>
        </w:rPr>
        <w:t>9.2 Risk Identification</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ab/>
      </w:r>
      <w:r w:rsidRPr="00BB3831">
        <w:rPr>
          <w:rFonts w:ascii="Verdana" w:eastAsia="Times New Roman" w:hAnsi="Verdana" w:cs="Arial"/>
          <w:sz w:val="24"/>
          <w:szCs w:val="24"/>
        </w:rPr>
        <w:tab/>
        <w:t xml:space="preserve">9.3 Evaluation &amp; Prioritisation </w:t>
      </w:r>
    </w:p>
    <w:p w:rsidR="00BB3831" w:rsidRPr="00BB3831" w:rsidRDefault="00BB3831" w:rsidP="00BB3831">
      <w:pPr>
        <w:spacing w:before="60" w:after="60" w:line="240" w:lineRule="auto"/>
        <w:ind w:left="720" w:firstLine="720"/>
        <w:rPr>
          <w:rFonts w:ascii="Verdana" w:eastAsia="Times New Roman" w:hAnsi="Verdana" w:cs="Arial"/>
          <w:sz w:val="24"/>
          <w:szCs w:val="24"/>
        </w:rPr>
      </w:pPr>
      <w:r w:rsidRPr="00BB3831">
        <w:rPr>
          <w:rFonts w:ascii="Verdana" w:eastAsia="Times New Roman" w:hAnsi="Verdana" w:cs="Arial"/>
          <w:sz w:val="24"/>
          <w:szCs w:val="24"/>
        </w:rPr>
        <w:t>9.4 Risk Appetite</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ab/>
      </w:r>
      <w:r w:rsidRPr="00BB3831">
        <w:rPr>
          <w:rFonts w:ascii="Verdana" w:eastAsia="Times New Roman" w:hAnsi="Verdana" w:cs="Arial"/>
          <w:sz w:val="24"/>
          <w:szCs w:val="24"/>
        </w:rPr>
        <w:tab/>
        <w:t xml:space="preserve">9.5 Management of the Risk – </w:t>
      </w:r>
      <w:r w:rsidR="00CC475F">
        <w:rPr>
          <w:rFonts w:ascii="Verdana" w:eastAsia="Times New Roman" w:hAnsi="Verdana" w:cs="Arial"/>
          <w:sz w:val="24"/>
          <w:szCs w:val="24"/>
        </w:rPr>
        <w:t xml:space="preserve">Mitigating </w:t>
      </w:r>
      <w:r w:rsidRPr="00BB3831">
        <w:rPr>
          <w:rFonts w:ascii="Verdana" w:eastAsia="Times New Roman" w:hAnsi="Verdana" w:cs="Arial"/>
          <w:sz w:val="24"/>
          <w:szCs w:val="24"/>
        </w:rPr>
        <w:t>Action Plans</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ab/>
      </w:r>
      <w:r w:rsidRPr="00BB3831">
        <w:rPr>
          <w:rFonts w:ascii="Verdana" w:eastAsia="Times New Roman" w:hAnsi="Verdana" w:cs="Arial"/>
          <w:sz w:val="24"/>
          <w:szCs w:val="24"/>
        </w:rPr>
        <w:tab/>
        <w:t>9.6 Monitoring</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ab/>
      </w:r>
      <w:r w:rsidRPr="00BB3831">
        <w:rPr>
          <w:rFonts w:ascii="Verdana" w:eastAsia="Times New Roman" w:hAnsi="Verdana" w:cs="Arial"/>
          <w:sz w:val="24"/>
          <w:szCs w:val="24"/>
        </w:rPr>
        <w:tab/>
        <w:t>9.7 Risk Reporting</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10</w:t>
      </w:r>
      <w:r w:rsidRPr="00BB3831">
        <w:rPr>
          <w:rFonts w:ascii="Verdana" w:eastAsia="Times New Roman" w:hAnsi="Verdana" w:cs="Arial"/>
          <w:sz w:val="24"/>
          <w:szCs w:val="24"/>
        </w:rPr>
        <w:tab/>
        <w:t>Escalation and flow of Risks</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11</w:t>
      </w:r>
      <w:r w:rsidRPr="00BB3831">
        <w:rPr>
          <w:rFonts w:ascii="Verdana" w:eastAsia="Times New Roman" w:hAnsi="Verdana" w:cs="Arial"/>
          <w:sz w:val="24"/>
          <w:szCs w:val="24"/>
        </w:rPr>
        <w:tab/>
        <w:t xml:space="preserve">Consistency &amp; Challenge </w:t>
      </w:r>
    </w:p>
    <w:p w:rsidR="00BB3831" w:rsidRPr="00BB3831" w:rsidRDefault="00BB3831" w:rsidP="00BB3831">
      <w:pPr>
        <w:spacing w:before="60" w:after="60" w:line="240" w:lineRule="auto"/>
        <w:ind w:left="720" w:hanging="720"/>
        <w:rPr>
          <w:rFonts w:ascii="Verdana" w:eastAsia="Times New Roman" w:hAnsi="Verdana" w:cs="Arial"/>
          <w:sz w:val="24"/>
          <w:szCs w:val="24"/>
        </w:rPr>
      </w:pPr>
      <w:r w:rsidRPr="00BB3831">
        <w:rPr>
          <w:rFonts w:ascii="Verdana" w:eastAsia="Times New Roman" w:hAnsi="Verdana" w:cs="Arial"/>
          <w:sz w:val="24"/>
          <w:szCs w:val="24"/>
        </w:rPr>
        <w:t xml:space="preserve">12 </w:t>
      </w:r>
      <w:r w:rsidRPr="00BB3831">
        <w:rPr>
          <w:rFonts w:ascii="Verdana" w:eastAsia="Times New Roman" w:hAnsi="Verdana" w:cs="Arial"/>
          <w:sz w:val="24"/>
          <w:szCs w:val="24"/>
        </w:rPr>
        <w:tab/>
        <w:t xml:space="preserve">Benchmarking of Risk Practices </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13</w:t>
      </w:r>
      <w:r w:rsidRPr="00BB3831">
        <w:rPr>
          <w:rFonts w:ascii="Verdana" w:eastAsia="Times New Roman" w:hAnsi="Verdana" w:cs="Arial"/>
          <w:sz w:val="24"/>
          <w:szCs w:val="24"/>
        </w:rPr>
        <w:tab/>
        <w:t>City Executive Board Reports</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14</w:t>
      </w:r>
      <w:r w:rsidRPr="00BB3831">
        <w:rPr>
          <w:rFonts w:ascii="Verdana" w:eastAsia="Times New Roman" w:hAnsi="Verdana" w:cs="Arial"/>
          <w:sz w:val="24"/>
          <w:szCs w:val="24"/>
        </w:rPr>
        <w:tab/>
        <w:t>Training</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15</w:t>
      </w:r>
      <w:r w:rsidRPr="00BB3831">
        <w:rPr>
          <w:rFonts w:ascii="Verdana" w:eastAsia="Times New Roman" w:hAnsi="Verdana" w:cs="Arial"/>
          <w:sz w:val="24"/>
          <w:szCs w:val="24"/>
        </w:rPr>
        <w:tab/>
        <w:t xml:space="preserve">Roles &amp; Responsibilities </w:t>
      </w: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sz w:val="24"/>
          <w:szCs w:val="24"/>
        </w:rPr>
        <w:t>16</w:t>
      </w:r>
      <w:r w:rsidRPr="00BB3831">
        <w:rPr>
          <w:rFonts w:ascii="Verdana" w:eastAsia="Times New Roman" w:hAnsi="Verdana" w:cs="Arial"/>
          <w:sz w:val="24"/>
          <w:szCs w:val="24"/>
        </w:rPr>
        <w:tab/>
        <w:t>Definitions</w:t>
      </w:r>
    </w:p>
    <w:p w:rsidR="00BB3831" w:rsidRPr="00BB3831" w:rsidRDefault="00BB3831" w:rsidP="00BB3831">
      <w:pPr>
        <w:spacing w:after="0" w:line="240" w:lineRule="auto"/>
        <w:rPr>
          <w:rFonts w:ascii="Arial" w:eastAsia="Times New Roman" w:hAnsi="Arial" w:cs="Arial"/>
          <w:sz w:val="24"/>
          <w:szCs w:val="24"/>
        </w:rPr>
      </w:pPr>
    </w:p>
    <w:p w:rsidR="00BB3831" w:rsidRPr="00BB3831" w:rsidRDefault="00BB3831" w:rsidP="00BB3831">
      <w:pPr>
        <w:spacing w:after="0" w:line="240" w:lineRule="auto"/>
        <w:rPr>
          <w:rFonts w:ascii="Arial" w:eastAsia="Times New Roman" w:hAnsi="Arial" w:cs="Arial"/>
          <w:sz w:val="28"/>
          <w:szCs w:val="28"/>
        </w:rPr>
      </w:pPr>
      <w:r w:rsidRPr="00BB3831">
        <w:rPr>
          <w:rFonts w:ascii="Arial" w:eastAsia="Times New Roman" w:hAnsi="Arial" w:cs="Arial"/>
          <w:sz w:val="24"/>
          <w:szCs w:val="24"/>
        </w:rPr>
        <w:br w:type="page"/>
      </w:r>
    </w:p>
    <w:p w:rsidR="00BB3831" w:rsidRPr="00BB3831" w:rsidRDefault="00BB3831" w:rsidP="00BB3831">
      <w:pPr>
        <w:spacing w:after="0" w:line="240" w:lineRule="auto"/>
        <w:jc w:val="center"/>
        <w:rPr>
          <w:rFonts w:ascii="Verdana" w:eastAsia="Times New Roman" w:hAnsi="Verdana" w:cs="Arial"/>
          <w:b/>
          <w:sz w:val="24"/>
          <w:szCs w:val="24"/>
        </w:rPr>
      </w:pPr>
      <w:r w:rsidRPr="00BB3831">
        <w:rPr>
          <w:rFonts w:ascii="Verdana" w:eastAsia="Times New Roman" w:hAnsi="Verdana" w:cs="Arial"/>
          <w:b/>
          <w:sz w:val="28"/>
          <w:szCs w:val="28"/>
        </w:rPr>
        <w:lastRenderedPageBreak/>
        <w:t>Risk Management Strategy</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0"/>
        </w:rPr>
      </w:pPr>
      <w:r w:rsidRPr="00BB3831">
        <w:rPr>
          <w:rFonts w:ascii="Verdana" w:eastAsia="Times New Roman" w:hAnsi="Verdana" w:cs="Arial"/>
          <w:sz w:val="24"/>
          <w:szCs w:val="24"/>
        </w:rPr>
        <w:t xml:space="preserve">This strategy defines the approach that Oxford City Council (OCC) takes towards the management of risk </w:t>
      </w:r>
      <w:r w:rsidR="008E6305">
        <w:rPr>
          <w:rFonts w:ascii="Verdana" w:eastAsia="Times New Roman" w:hAnsi="Verdana" w:cs="Arial"/>
          <w:sz w:val="24"/>
          <w:szCs w:val="24"/>
        </w:rPr>
        <w:t>throughout the Council.</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b/>
          <w:sz w:val="20"/>
        </w:rPr>
      </w:pPr>
      <w:r w:rsidRPr="00BB3831">
        <w:rPr>
          <w:rFonts w:ascii="Verdana" w:eastAsia="Times New Roman" w:hAnsi="Verdana" w:cs="Arial"/>
          <w:b/>
          <w:sz w:val="24"/>
          <w:szCs w:val="24"/>
        </w:rPr>
        <w:t>1.</w:t>
      </w:r>
      <w:r w:rsidRPr="00BB3831">
        <w:rPr>
          <w:rFonts w:ascii="Verdana" w:eastAsia="Times New Roman" w:hAnsi="Verdana" w:cs="Arial"/>
          <w:b/>
          <w:sz w:val="20"/>
        </w:rPr>
        <w:tab/>
      </w:r>
      <w:r w:rsidRPr="00BB3831">
        <w:rPr>
          <w:rFonts w:ascii="Verdana" w:eastAsia="Times New Roman" w:hAnsi="Verdana" w:cs="Arial"/>
          <w:b/>
          <w:sz w:val="24"/>
          <w:szCs w:val="24"/>
        </w:rPr>
        <w:t>Aim</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aim of the risk management policy and strategy is to embed risk management into the culture, ethos, policies and practices of the Council.</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keepNext/>
        <w:numPr>
          <w:ilvl w:val="0"/>
          <w:numId w:val="11"/>
        </w:numPr>
        <w:tabs>
          <w:tab w:val="num" w:pos="720"/>
        </w:tabs>
        <w:spacing w:after="0" w:line="240" w:lineRule="auto"/>
        <w:ind w:hanging="1080"/>
        <w:outlineLvl w:val="0"/>
        <w:rPr>
          <w:rFonts w:ascii="Verdana" w:eastAsia="Times New Roman" w:hAnsi="Verdana" w:cs="Arial"/>
          <w:b/>
          <w:bCs/>
          <w:sz w:val="24"/>
          <w:szCs w:val="24"/>
        </w:rPr>
      </w:pPr>
      <w:r w:rsidRPr="00BB3831">
        <w:rPr>
          <w:rFonts w:ascii="Verdana" w:eastAsia="Times New Roman" w:hAnsi="Verdana" w:cs="Arial"/>
          <w:b/>
          <w:bCs/>
          <w:sz w:val="24"/>
          <w:szCs w:val="24"/>
        </w:rPr>
        <w:t>Purpose of the Strategy</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strategy aims to provide a clear and consistent approach to the management of risk across the organisation, between services and between corporate and service levels.</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keepNext/>
        <w:spacing w:after="0" w:line="240" w:lineRule="auto"/>
        <w:outlineLvl w:val="4"/>
        <w:rPr>
          <w:rFonts w:ascii="Verdana" w:eastAsia="Times New Roman" w:hAnsi="Verdana" w:cs="Arial"/>
          <w:b/>
          <w:bCs/>
          <w:sz w:val="20"/>
        </w:rPr>
      </w:pPr>
      <w:r w:rsidRPr="00BB3831">
        <w:rPr>
          <w:rFonts w:ascii="Verdana" w:eastAsia="Times New Roman" w:hAnsi="Verdana" w:cs="Arial"/>
          <w:b/>
          <w:bCs/>
          <w:sz w:val="24"/>
          <w:szCs w:val="24"/>
        </w:rPr>
        <w:t>3</w:t>
      </w:r>
      <w:r w:rsidRPr="00BB3831">
        <w:rPr>
          <w:rFonts w:ascii="Verdana" w:eastAsia="Times New Roman" w:hAnsi="Verdana" w:cs="Arial"/>
          <w:b/>
          <w:bCs/>
          <w:sz w:val="20"/>
        </w:rPr>
        <w:tab/>
      </w:r>
      <w:r w:rsidRPr="00BB3831">
        <w:rPr>
          <w:rFonts w:ascii="Verdana" w:eastAsia="Times New Roman" w:hAnsi="Verdana" w:cs="Arial"/>
          <w:b/>
          <w:bCs/>
          <w:sz w:val="24"/>
          <w:szCs w:val="24"/>
        </w:rPr>
        <w:t>Strategy Review &amp; Approval</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overflowPunct w:val="0"/>
        <w:autoSpaceDE w:val="0"/>
        <w:autoSpaceDN w:val="0"/>
        <w:adjustRightInd w:val="0"/>
        <w:spacing w:after="0" w:line="240" w:lineRule="auto"/>
        <w:ind w:hanging="720"/>
        <w:jc w:val="both"/>
        <w:textAlignment w:val="baseline"/>
        <w:rPr>
          <w:rFonts w:ascii="Verdana" w:eastAsia="Times New Roman" w:hAnsi="Verdana" w:cs="Arial"/>
          <w:sz w:val="24"/>
          <w:szCs w:val="24"/>
        </w:rPr>
      </w:pPr>
      <w:r w:rsidRPr="00BB3831">
        <w:rPr>
          <w:rFonts w:ascii="Verdana" w:eastAsia="Times New Roman" w:hAnsi="Verdana" w:cs="Arial"/>
          <w:sz w:val="20"/>
          <w:szCs w:val="20"/>
        </w:rPr>
        <w:tab/>
      </w:r>
      <w:r w:rsidRPr="00BB3831">
        <w:rPr>
          <w:rFonts w:ascii="Verdana" w:eastAsia="Times New Roman" w:hAnsi="Verdana" w:cs="Arial"/>
          <w:sz w:val="24"/>
          <w:szCs w:val="24"/>
        </w:rPr>
        <w:t xml:space="preserve">The Risk Management Strategy will be reviewed periodically to take account of changing legislation, government initiatives, best practice and experience gained within the Council in adopting the Strategy. Any amendments will be recommended to the </w:t>
      </w:r>
      <w:r w:rsidRPr="00BB3831">
        <w:rPr>
          <w:rFonts w:ascii="Verdana" w:eastAsia="Times New Roman" w:hAnsi="Verdana" w:cs="Arial"/>
          <w:b/>
          <w:bCs/>
          <w:sz w:val="24"/>
          <w:szCs w:val="24"/>
        </w:rPr>
        <w:t>Audit and Governance Committee (A&amp;GC)</w:t>
      </w:r>
      <w:r w:rsidRPr="00BB3831">
        <w:rPr>
          <w:rFonts w:ascii="Verdana" w:eastAsia="Times New Roman" w:hAnsi="Verdana" w:cs="Arial"/>
          <w:sz w:val="24"/>
          <w:szCs w:val="24"/>
        </w:rPr>
        <w:t xml:space="preserve"> to take forward for approval by the</w:t>
      </w:r>
      <w:r w:rsidRPr="00BB3831">
        <w:rPr>
          <w:rFonts w:ascii="Verdana" w:eastAsia="Times New Roman" w:hAnsi="Verdana" w:cs="Arial"/>
          <w:b/>
          <w:sz w:val="24"/>
          <w:szCs w:val="24"/>
        </w:rPr>
        <w:t xml:space="preserve"> City Executive Board (CEB).  </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b/>
          <w:bCs/>
          <w:sz w:val="24"/>
          <w:szCs w:val="24"/>
        </w:rPr>
      </w:pPr>
      <w:r w:rsidRPr="00BB3831">
        <w:rPr>
          <w:rFonts w:ascii="Verdana" w:eastAsia="Times New Roman" w:hAnsi="Verdana" w:cs="Arial"/>
          <w:b/>
          <w:bCs/>
          <w:sz w:val="24"/>
          <w:szCs w:val="24"/>
        </w:rPr>
        <w:t>4.</w:t>
      </w:r>
      <w:r w:rsidRPr="00BB3831">
        <w:rPr>
          <w:rFonts w:ascii="Verdana" w:eastAsia="Times New Roman" w:hAnsi="Verdana" w:cs="Arial"/>
          <w:b/>
          <w:bCs/>
          <w:sz w:val="20"/>
        </w:rPr>
        <w:tab/>
      </w:r>
      <w:r w:rsidRPr="00BB3831">
        <w:rPr>
          <w:rFonts w:ascii="Verdana" w:eastAsia="Times New Roman" w:hAnsi="Verdana" w:cs="Arial"/>
          <w:b/>
          <w:bCs/>
          <w:sz w:val="24"/>
          <w:szCs w:val="24"/>
        </w:rPr>
        <w:t>Definition of Risk</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A risk is the chance that something will happen (positive or negative) which will impact on the organisations objectives. </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ind w:left="720" w:hanging="720"/>
        <w:rPr>
          <w:rFonts w:ascii="Verdana" w:eastAsia="Times New Roman" w:hAnsi="Verdana" w:cs="Arial"/>
          <w:sz w:val="20"/>
        </w:rPr>
      </w:pPr>
      <w:r w:rsidRPr="00BB3831">
        <w:rPr>
          <w:rFonts w:ascii="Verdana" w:eastAsia="Times New Roman" w:hAnsi="Verdana" w:cs="Arial"/>
          <w:b/>
          <w:bCs/>
          <w:sz w:val="24"/>
          <w:szCs w:val="24"/>
        </w:rPr>
        <w:t>5.</w:t>
      </w:r>
      <w:r w:rsidRPr="00BB3831">
        <w:rPr>
          <w:rFonts w:ascii="Verdana" w:eastAsia="Times New Roman" w:hAnsi="Verdana" w:cs="Arial"/>
          <w:b/>
          <w:bCs/>
          <w:sz w:val="20"/>
        </w:rPr>
        <w:tab/>
      </w:r>
      <w:r w:rsidRPr="00BB3831">
        <w:rPr>
          <w:rFonts w:ascii="Verdana" w:eastAsia="Times New Roman" w:hAnsi="Verdana" w:cs="Arial"/>
          <w:b/>
          <w:bCs/>
          <w:sz w:val="24"/>
          <w:szCs w:val="24"/>
        </w:rPr>
        <w:t>Definition of Risk Management</w:t>
      </w:r>
      <w:r w:rsidRPr="00BB3831">
        <w:rPr>
          <w:rFonts w:ascii="Verdana" w:eastAsia="Times New Roman" w:hAnsi="Verdana" w:cs="Arial"/>
          <w:sz w:val="20"/>
        </w:rPr>
        <w:t xml:space="preserve"> </w:t>
      </w:r>
    </w:p>
    <w:p w:rsidR="00BB3831" w:rsidRPr="00BB3831" w:rsidRDefault="00BB3831" w:rsidP="00BB3831">
      <w:pPr>
        <w:spacing w:after="0" w:line="240" w:lineRule="auto"/>
        <w:ind w:left="720" w:hanging="720"/>
        <w:rPr>
          <w:rFonts w:ascii="Verdana" w:eastAsia="Times New Roman" w:hAnsi="Verdana" w:cs="Arial"/>
          <w:sz w:val="20"/>
        </w:rPr>
      </w:pPr>
    </w:p>
    <w:p w:rsidR="00BB3831" w:rsidRPr="00CC475F" w:rsidRDefault="00BB3831" w:rsidP="00BB3831">
      <w:pPr>
        <w:spacing w:after="0" w:line="240" w:lineRule="auto"/>
        <w:jc w:val="both"/>
        <w:rPr>
          <w:rFonts w:ascii="Verdana" w:eastAsia="Times New Roman" w:hAnsi="Verdana" w:cs="Arial"/>
          <w:i/>
        </w:rPr>
      </w:pPr>
      <w:r w:rsidRPr="00BB3831">
        <w:rPr>
          <w:rFonts w:ascii="Verdana" w:eastAsia="Times New Roman" w:hAnsi="Verdana" w:cs="Arial"/>
          <w:sz w:val="24"/>
          <w:szCs w:val="24"/>
        </w:rPr>
        <w:t>Risk management can be defin</w:t>
      </w:r>
      <w:r w:rsidR="00CC475F">
        <w:rPr>
          <w:rFonts w:ascii="Verdana" w:eastAsia="Times New Roman" w:hAnsi="Verdana" w:cs="Arial"/>
          <w:sz w:val="24"/>
          <w:szCs w:val="24"/>
        </w:rPr>
        <w:t>ed</w:t>
      </w:r>
      <w:r w:rsidRPr="00BB3831">
        <w:rPr>
          <w:rFonts w:ascii="Verdana" w:eastAsia="Times New Roman" w:hAnsi="Verdana" w:cs="Arial"/>
          <w:sz w:val="24"/>
          <w:szCs w:val="24"/>
        </w:rPr>
        <w:t xml:space="preserve"> as ‘</w:t>
      </w:r>
      <w:r w:rsidRPr="00BB3831">
        <w:rPr>
          <w:rFonts w:ascii="Verdana" w:eastAsia="Times New Roman" w:hAnsi="Verdana" w:cs="Arial"/>
          <w:i/>
          <w:sz w:val="24"/>
          <w:szCs w:val="24"/>
        </w:rPr>
        <w:t xml:space="preserve">coordinated activities to direct and control an organisation with regard to risk’* </w:t>
      </w:r>
      <w:r w:rsidRPr="00CC475F">
        <w:rPr>
          <w:rFonts w:ascii="Verdana" w:eastAsia="Times New Roman" w:hAnsi="Verdana" w:cs="Arial"/>
          <w:i/>
        </w:rPr>
        <w:t>(Risk Management: Principles and Guidelines BS 31000:2209 (BSI)).</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Risk management is about making the most of opportunities (making the right decisions) and about achieving objectives once those decisions are made. This is achieved through transferring risks, controlling risks and living with risks. Risk management is not just about insurance, – not least because over 80% of risks faced by organisations are not insurable. Certainly risk transfer is a part of risk management, but so is retention and control.</w:t>
      </w:r>
    </w:p>
    <w:p w:rsidR="00BB3831" w:rsidRDefault="00BB3831" w:rsidP="00BB3831">
      <w:pPr>
        <w:spacing w:after="0" w:line="240" w:lineRule="auto"/>
        <w:jc w:val="both"/>
        <w:rPr>
          <w:rFonts w:ascii="Verdana" w:eastAsia="Times New Roman" w:hAnsi="Verdana" w:cs="Arial"/>
          <w:i/>
        </w:rPr>
      </w:pPr>
      <w:r w:rsidRPr="00BB3831">
        <w:rPr>
          <w:rFonts w:ascii="Verdana" w:eastAsia="Times New Roman" w:hAnsi="Verdana" w:cs="Arial"/>
          <w:i/>
        </w:rPr>
        <w:t>Source: Solace/Zurich Municipal</w:t>
      </w:r>
    </w:p>
    <w:p w:rsidR="001001A1" w:rsidRPr="00BB3831" w:rsidRDefault="001001A1" w:rsidP="00BB3831">
      <w:pPr>
        <w:spacing w:after="0" w:line="240" w:lineRule="auto"/>
        <w:jc w:val="both"/>
        <w:rPr>
          <w:rFonts w:ascii="Verdana" w:eastAsia="Times New Roman" w:hAnsi="Verdana" w:cs="Arial"/>
          <w:i/>
        </w:rPr>
      </w:pPr>
    </w:p>
    <w:p w:rsidR="00BB3831" w:rsidRPr="00BB3831" w:rsidRDefault="00BB3831" w:rsidP="00BB3831">
      <w:pPr>
        <w:spacing w:after="0" w:line="240" w:lineRule="auto"/>
        <w:jc w:val="both"/>
        <w:rPr>
          <w:rFonts w:ascii="Verdana" w:eastAsia="Times New Roman" w:hAnsi="Verdana" w:cs="Arial"/>
          <w:i/>
        </w:rPr>
      </w:pPr>
    </w:p>
    <w:p w:rsidR="00BB3831" w:rsidRPr="00BB3831" w:rsidRDefault="00BB3831" w:rsidP="00BB3831">
      <w:pPr>
        <w:spacing w:after="0" w:line="240" w:lineRule="auto"/>
        <w:rPr>
          <w:rFonts w:ascii="Verdana" w:eastAsia="Times New Roman" w:hAnsi="Verdana" w:cs="Arial"/>
          <w:b/>
          <w:bCs/>
          <w:sz w:val="20"/>
        </w:rPr>
      </w:pPr>
      <w:r w:rsidRPr="00BB3831">
        <w:rPr>
          <w:rFonts w:ascii="Verdana" w:eastAsia="Times New Roman" w:hAnsi="Verdana" w:cs="Arial"/>
          <w:b/>
          <w:bCs/>
          <w:sz w:val="24"/>
          <w:szCs w:val="24"/>
        </w:rPr>
        <w:lastRenderedPageBreak/>
        <w:t>6.</w:t>
      </w:r>
      <w:r w:rsidRPr="00BB3831">
        <w:rPr>
          <w:rFonts w:ascii="Verdana" w:eastAsia="Times New Roman" w:hAnsi="Verdana" w:cs="Arial"/>
          <w:b/>
          <w:bCs/>
          <w:sz w:val="20"/>
        </w:rPr>
        <w:tab/>
      </w:r>
      <w:r w:rsidRPr="00BB3831">
        <w:rPr>
          <w:rFonts w:ascii="Verdana" w:eastAsia="Times New Roman" w:hAnsi="Verdana" w:cs="Arial"/>
          <w:b/>
          <w:bCs/>
          <w:sz w:val="24"/>
          <w:szCs w:val="24"/>
        </w:rPr>
        <w:t>The regulatory requirements for risk management</w:t>
      </w:r>
    </w:p>
    <w:p w:rsidR="00BB3831" w:rsidRPr="00BB3831" w:rsidRDefault="00BB3831" w:rsidP="00BB3831">
      <w:pPr>
        <w:spacing w:after="0" w:line="240" w:lineRule="auto"/>
        <w:jc w:val="both"/>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A risk management strategy is considered as an essential part of good governance within any organisation and therefore should be an integral part of its processes and plan.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current Accounts and Audit Regulations (England) establish requirements related to systems of internal control, and the review and reporting of those systems.</w:t>
      </w:r>
    </w:p>
    <w:p w:rsidR="00BB3831" w:rsidRPr="00BB3831" w:rsidRDefault="00BB3831" w:rsidP="00BB3831">
      <w:pPr>
        <w:overflowPunct w:val="0"/>
        <w:autoSpaceDE w:val="0"/>
        <w:autoSpaceDN w:val="0"/>
        <w:adjustRightInd w:val="0"/>
        <w:spacing w:after="0" w:line="240" w:lineRule="auto"/>
        <w:jc w:val="both"/>
        <w:textAlignment w:val="baseline"/>
        <w:rPr>
          <w:rFonts w:ascii="Verdana" w:eastAsia="Times New Roman" w:hAnsi="Verdana" w:cs="Arial"/>
          <w:sz w:val="24"/>
          <w:szCs w:val="24"/>
        </w:rPr>
      </w:pPr>
    </w:p>
    <w:p w:rsidR="00BB3831" w:rsidRPr="00BB3831" w:rsidRDefault="00BB3831" w:rsidP="00BB3831">
      <w:pPr>
        <w:overflowPunct w:val="0"/>
        <w:autoSpaceDE w:val="0"/>
        <w:autoSpaceDN w:val="0"/>
        <w:adjustRightInd w:val="0"/>
        <w:spacing w:after="0" w:line="240" w:lineRule="auto"/>
        <w:jc w:val="both"/>
        <w:textAlignment w:val="baseline"/>
        <w:rPr>
          <w:rFonts w:ascii="Verdana" w:eastAsia="Times New Roman" w:hAnsi="Verdana" w:cs="Arial"/>
          <w:sz w:val="24"/>
          <w:szCs w:val="24"/>
        </w:rPr>
      </w:pPr>
      <w:r w:rsidRPr="00BB3831">
        <w:rPr>
          <w:rFonts w:ascii="Verdana" w:eastAsia="Times New Roman" w:hAnsi="Verdana" w:cs="Arial"/>
          <w:sz w:val="24"/>
          <w:szCs w:val="24"/>
        </w:rPr>
        <w:t>In 2012 CIPFA in conjunction with the Society of Local Authority Chief Executives (SOLACE) published an updated version of the 2007 publication of Delivering Good Governance in Local Government: Framework. This framework introduced the concept of an integrated Annual Governance Statement covering all significant corporate systems, processes and controls.</w:t>
      </w:r>
    </w:p>
    <w:p w:rsidR="00BB3831" w:rsidRPr="00BB3831" w:rsidRDefault="00BB3831" w:rsidP="00BB3831">
      <w:pPr>
        <w:overflowPunct w:val="0"/>
        <w:autoSpaceDE w:val="0"/>
        <w:autoSpaceDN w:val="0"/>
        <w:adjustRightInd w:val="0"/>
        <w:spacing w:after="0" w:line="240" w:lineRule="auto"/>
        <w:jc w:val="both"/>
        <w:textAlignment w:val="baseline"/>
        <w:rPr>
          <w:rFonts w:ascii="Verdana" w:eastAsia="Times New Roman" w:hAnsi="Verdana" w:cs="Arial"/>
          <w:sz w:val="24"/>
          <w:szCs w:val="24"/>
        </w:rPr>
      </w:pPr>
    </w:p>
    <w:p w:rsidR="00BB3831" w:rsidRPr="00BB3831" w:rsidRDefault="00BB3831" w:rsidP="00BB3831">
      <w:pPr>
        <w:overflowPunct w:val="0"/>
        <w:autoSpaceDE w:val="0"/>
        <w:autoSpaceDN w:val="0"/>
        <w:adjustRightInd w:val="0"/>
        <w:spacing w:after="0" w:line="240" w:lineRule="auto"/>
        <w:jc w:val="both"/>
        <w:textAlignment w:val="baseline"/>
        <w:rPr>
          <w:rFonts w:ascii="Verdana" w:eastAsia="Times New Roman" w:hAnsi="Verdana" w:cs="Arial"/>
          <w:sz w:val="24"/>
          <w:szCs w:val="24"/>
        </w:rPr>
      </w:pPr>
      <w:r w:rsidRPr="00BB3831">
        <w:rPr>
          <w:rFonts w:ascii="Verdana" w:eastAsia="Times New Roman" w:hAnsi="Verdana" w:cs="Arial"/>
          <w:sz w:val="24"/>
          <w:szCs w:val="24"/>
        </w:rPr>
        <w:t>The AGS describes the systems and processes that make up the governance framework and how effective these are together with any areas of improvement. The statement draws on opinions and conclusions including internal audit, performance, management, risk management, external auditors and the Councils monitoring officer. Production of the AGS is a statutory requirement and must be approved by the Leader of the Council and the Chief Executive.</w:t>
      </w:r>
    </w:p>
    <w:p w:rsidR="00BB3831" w:rsidRPr="00BB3831" w:rsidRDefault="00BB3831" w:rsidP="00BB3831">
      <w:pPr>
        <w:spacing w:after="0" w:line="240" w:lineRule="auto"/>
        <w:rPr>
          <w:rFonts w:ascii="Arial" w:eastAsia="Times New Roman" w:hAnsi="Arial" w:cs="Arial"/>
          <w:sz w:val="20"/>
        </w:rPr>
      </w:pPr>
    </w:p>
    <w:p w:rsidR="00BB3831" w:rsidRPr="00BB3831" w:rsidRDefault="00BB3831" w:rsidP="00BB3831">
      <w:pPr>
        <w:spacing w:after="0" w:line="240" w:lineRule="auto"/>
        <w:rPr>
          <w:rFonts w:ascii="Arial" w:eastAsia="Times New Roman" w:hAnsi="Arial" w:cs="Arial"/>
          <w:sz w:val="20"/>
        </w:rPr>
      </w:pPr>
    </w:p>
    <w:p w:rsidR="00BB3831" w:rsidRPr="00BB3831" w:rsidRDefault="00BB3831" w:rsidP="00BB3831">
      <w:pPr>
        <w:spacing w:after="0" w:line="240" w:lineRule="auto"/>
        <w:rPr>
          <w:rFonts w:ascii="Verdana" w:eastAsia="Times New Roman" w:hAnsi="Verdana" w:cs="Arial"/>
          <w:b/>
          <w:sz w:val="20"/>
        </w:rPr>
      </w:pPr>
      <w:r w:rsidRPr="00BB3831">
        <w:rPr>
          <w:rFonts w:ascii="Verdana" w:eastAsia="Times New Roman" w:hAnsi="Verdana" w:cs="Arial"/>
          <w:b/>
          <w:sz w:val="24"/>
          <w:szCs w:val="24"/>
        </w:rPr>
        <w:t>7.</w:t>
      </w:r>
      <w:r w:rsidRPr="00BB3831">
        <w:rPr>
          <w:rFonts w:ascii="Verdana" w:eastAsia="Times New Roman" w:hAnsi="Verdana" w:cs="Arial"/>
          <w:b/>
          <w:sz w:val="20"/>
        </w:rPr>
        <w:tab/>
      </w:r>
      <w:r w:rsidRPr="00BB3831">
        <w:rPr>
          <w:rFonts w:ascii="Verdana" w:eastAsia="Times New Roman" w:hAnsi="Verdana" w:cs="Arial"/>
          <w:b/>
          <w:sz w:val="24"/>
          <w:szCs w:val="24"/>
        </w:rPr>
        <w:t xml:space="preserve">The benefits of </w:t>
      </w:r>
      <w:r w:rsidR="00CC475F">
        <w:rPr>
          <w:rFonts w:ascii="Verdana" w:eastAsia="Times New Roman" w:hAnsi="Verdana" w:cs="Arial"/>
          <w:b/>
          <w:sz w:val="24"/>
          <w:szCs w:val="24"/>
        </w:rPr>
        <w:t>r</w:t>
      </w:r>
      <w:r w:rsidRPr="00BB3831">
        <w:rPr>
          <w:rFonts w:ascii="Verdana" w:eastAsia="Times New Roman" w:hAnsi="Verdana" w:cs="Arial"/>
          <w:b/>
          <w:sz w:val="24"/>
          <w:szCs w:val="24"/>
        </w:rPr>
        <w:t xml:space="preserve">isk </w:t>
      </w:r>
      <w:r w:rsidR="00290E1E">
        <w:rPr>
          <w:rFonts w:ascii="Verdana" w:eastAsia="Times New Roman" w:hAnsi="Verdana" w:cs="Arial"/>
          <w:b/>
          <w:sz w:val="24"/>
          <w:szCs w:val="24"/>
        </w:rPr>
        <w:t>m</w:t>
      </w:r>
      <w:r w:rsidRPr="00BB3831">
        <w:rPr>
          <w:rFonts w:ascii="Verdana" w:eastAsia="Times New Roman" w:hAnsi="Verdana" w:cs="Arial"/>
          <w:b/>
          <w:sz w:val="24"/>
          <w:szCs w:val="24"/>
        </w:rPr>
        <w:t>anagement</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sz w:val="24"/>
          <w:szCs w:val="24"/>
        </w:rPr>
        <w:t>Highlighted are those benefits of particular importance and focus for the Council.</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More </w:t>
      </w:r>
      <w:r w:rsidRPr="00BB3831">
        <w:rPr>
          <w:rFonts w:ascii="Verdana" w:eastAsia="Times New Roman" w:hAnsi="Verdana" w:cs="Arial"/>
          <w:bCs/>
          <w:sz w:val="24"/>
          <w:szCs w:val="24"/>
        </w:rPr>
        <w:t>satisfied citizens</w:t>
      </w:r>
      <w:r w:rsidRPr="00BB3831">
        <w:rPr>
          <w:rFonts w:ascii="Verdana" w:eastAsia="Times New Roman" w:hAnsi="Verdana" w:cs="Arial"/>
          <w:sz w:val="24"/>
          <w:szCs w:val="24"/>
        </w:rPr>
        <w:t xml:space="preserve">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bCs/>
          <w:sz w:val="24"/>
          <w:szCs w:val="24"/>
        </w:rPr>
        <w:t>Increased focus</w:t>
      </w:r>
      <w:r w:rsidRPr="00BB3831">
        <w:rPr>
          <w:rFonts w:ascii="Verdana" w:eastAsia="Times New Roman" w:hAnsi="Verdana" w:cs="Arial"/>
          <w:sz w:val="24"/>
          <w:szCs w:val="24"/>
        </w:rPr>
        <w:t xml:space="preserve"> on what needs to be done (and not done) to meet objectives </w:t>
      </w:r>
    </w:p>
    <w:p w:rsidR="00BB3831" w:rsidRPr="00BB3831" w:rsidRDefault="00BB3831" w:rsidP="00BB3831">
      <w:pPr>
        <w:numPr>
          <w:ilvl w:val="1"/>
          <w:numId w:val="1"/>
        </w:numPr>
        <w:spacing w:after="0" w:line="240" w:lineRule="auto"/>
        <w:rPr>
          <w:rFonts w:ascii="Verdana" w:eastAsia="Times New Roman" w:hAnsi="Verdana" w:cs="Arial"/>
          <w:bCs/>
          <w:sz w:val="24"/>
          <w:szCs w:val="24"/>
        </w:rPr>
      </w:pPr>
      <w:r w:rsidRPr="00BB3831">
        <w:rPr>
          <w:rFonts w:ascii="Verdana" w:eastAsia="Times New Roman" w:hAnsi="Verdana" w:cs="Arial"/>
          <w:bCs/>
          <w:sz w:val="24"/>
          <w:szCs w:val="24"/>
        </w:rPr>
        <w:t>Supports innovation</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Fewer complaints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Controlled insurance costs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Competitive advantage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Better quality service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Enhanced ability to justify actions taken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bCs/>
          <w:sz w:val="24"/>
          <w:szCs w:val="24"/>
        </w:rPr>
        <w:t>Delivering best value</w:t>
      </w:r>
      <w:r w:rsidRPr="00BB3831">
        <w:rPr>
          <w:rFonts w:ascii="Verdana" w:eastAsia="Times New Roman" w:hAnsi="Verdana" w:cs="Arial"/>
          <w:sz w:val="24"/>
          <w:szCs w:val="24"/>
        </w:rPr>
        <w:t xml:space="preserve">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Protection of reputation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Better management of change programmes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Getting things</w:t>
      </w:r>
      <w:r w:rsidRPr="00BB3831">
        <w:rPr>
          <w:rFonts w:ascii="Verdana" w:eastAsia="Times New Roman" w:hAnsi="Verdana" w:cs="Arial"/>
          <w:bCs/>
          <w:sz w:val="24"/>
          <w:szCs w:val="24"/>
        </w:rPr>
        <w:t xml:space="preserve"> right first time</w:t>
      </w:r>
    </w:p>
    <w:p w:rsidR="00BB3831" w:rsidRPr="00BB3831" w:rsidRDefault="00BB3831" w:rsidP="00BB3831">
      <w:pPr>
        <w:spacing w:after="0" w:line="240" w:lineRule="auto"/>
        <w:rPr>
          <w:rFonts w:ascii="Verdana" w:eastAsia="Times New Roman" w:hAnsi="Verdana" w:cs="Arial"/>
          <w:sz w:val="24"/>
          <w:szCs w:val="24"/>
        </w:rPr>
      </w:pPr>
    </w:p>
    <w:p w:rsid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Good risk management can therefore lead to: </w:t>
      </w:r>
    </w:p>
    <w:p w:rsidR="00DE39AB" w:rsidRPr="00BB3831" w:rsidRDefault="00DE39AB"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autoSpaceDE w:val="0"/>
        <w:autoSpaceDN w:val="0"/>
        <w:adjustRightInd w:val="0"/>
        <w:spacing w:after="0" w:line="240" w:lineRule="auto"/>
        <w:rPr>
          <w:rFonts w:ascii="Verdana" w:eastAsia="Times New Roman" w:hAnsi="Verdana" w:cs="Arial"/>
          <w:color w:val="000000"/>
          <w:sz w:val="20"/>
        </w:rPr>
      </w:pPr>
      <w:r w:rsidRPr="00BB3831">
        <w:rPr>
          <w:rFonts w:ascii="Verdana" w:eastAsia="Times New Roman" w:hAnsi="Verdana" w:cs="Arial"/>
          <w:b/>
          <w:bCs/>
          <w:color w:val="000000"/>
          <w:sz w:val="24"/>
          <w:szCs w:val="24"/>
        </w:rPr>
        <w:lastRenderedPageBreak/>
        <w:t>Better operational performance</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increased number of targets achieved</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stronger internal controls</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improved service delivery</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increased positive feedback from stakeholders</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 xml:space="preserve">fewer complaints received </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improved planning through anticipation of risks</w:t>
      </w:r>
    </w:p>
    <w:p w:rsidR="00BB3831" w:rsidRPr="00BB3831" w:rsidRDefault="00BB3831" w:rsidP="00BB3831">
      <w:pPr>
        <w:autoSpaceDE w:val="0"/>
        <w:autoSpaceDN w:val="0"/>
        <w:adjustRightInd w:val="0"/>
        <w:spacing w:after="0" w:line="240" w:lineRule="auto"/>
        <w:rPr>
          <w:rFonts w:ascii="Verdana" w:eastAsia="Times New Roman" w:hAnsi="Verdana" w:cs="Arial"/>
          <w:color w:val="000000"/>
          <w:sz w:val="20"/>
        </w:rPr>
      </w:pPr>
    </w:p>
    <w:p w:rsidR="00BB3831" w:rsidRPr="00BB3831" w:rsidRDefault="00BB3831" w:rsidP="00BB3831">
      <w:pPr>
        <w:autoSpaceDE w:val="0"/>
        <w:autoSpaceDN w:val="0"/>
        <w:adjustRightInd w:val="0"/>
        <w:spacing w:after="0" w:line="240" w:lineRule="auto"/>
        <w:rPr>
          <w:rFonts w:ascii="Verdana" w:eastAsia="Times New Roman" w:hAnsi="Verdana" w:cs="Arial"/>
          <w:b/>
          <w:bCs/>
          <w:color w:val="000000"/>
          <w:sz w:val="24"/>
          <w:szCs w:val="24"/>
        </w:rPr>
      </w:pPr>
      <w:r w:rsidRPr="00BB3831">
        <w:rPr>
          <w:rFonts w:ascii="Verdana" w:eastAsia="Times New Roman" w:hAnsi="Verdana" w:cs="Arial"/>
          <w:b/>
          <w:bCs/>
          <w:color w:val="000000"/>
          <w:sz w:val="24"/>
          <w:szCs w:val="24"/>
        </w:rPr>
        <w:t>Improved financial performance</w:t>
      </w:r>
    </w:p>
    <w:p w:rsidR="00BB3831" w:rsidRPr="00BB3831" w:rsidRDefault="00BB3831" w:rsidP="00BB3831">
      <w:pPr>
        <w:numPr>
          <w:ilvl w:val="0"/>
          <w:numId w:val="3"/>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increased percentage of objectives achieved</w:t>
      </w:r>
    </w:p>
    <w:p w:rsidR="00BB3831" w:rsidRPr="00BB3831" w:rsidRDefault="00BB3831" w:rsidP="00BB3831">
      <w:pPr>
        <w:numPr>
          <w:ilvl w:val="0"/>
          <w:numId w:val="3"/>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reduced level of fraud</w:t>
      </w:r>
    </w:p>
    <w:p w:rsidR="00BB3831" w:rsidRPr="00BB3831" w:rsidRDefault="00BB3831" w:rsidP="00BB3831">
      <w:pPr>
        <w:numPr>
          <w:ilvl w:val="0"/>
          <w:numId w:val="3"/>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 xml:space="preserve">improved income generation </w:t>
      </w:r>
    </w:p>
    <w:p w:rsidR="00BB3831" w:rsidRPr="00BB3831" w:rsidRDefault="00BB3831" w:rsidP="00BB3831">
      <w:pPr>
        <w:numPr>
          <w:ilvl w:val="0"/>
          <w:numId w:val="3"/>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better budget management</w:t>
      </w:r>
    </w:p>
    <w:p w:rsidR="00BB3831" w:rsidRPr="00BB3831" w:rsidRDefault="00BB3831" w:rsidP="00BB3831">
      <w:pPr>
        <w:autoSpaceDE w:val="0"/>
        <w:autoSpaceDN w:val="0"/>
        <w:adjustRightInd w:val="0"/>
        <w:spacing w:after="0" w:line="240" w:lineRule="auto"/>
        <w:rPr>
          <w:rFonts w:ascii="Verdana" w:eastAsia="Times New Roman" w:hAnsi="Verdana" w:cs="Arial"/>
          <w:color w:val="000000"/>
          <w:sz w:val="20"/>
        </w:rPr>
      </w:pPr>
    </w:p>
    <w:p w:rsidR="00BB3831" w:rsidRPr="00BB3831" w:rsidRDefault="00BB3831" w:rsidP="00BB3831">
      <w:pPr>
        <w:autoSpaceDE w:val="0"/>
        <w:autoSpaceDN w:val="0"/>
        <w:adjustRightInd w:val="0"/>
        <w:spacing w:after="0" w:line="240" w:lineRule="auto"/>
        <w:jc w:val="both"/>
        <w:rPr>
          <w:rFonts w:ascii="Verdana" w:eastAsia="Times New Roman" w:hAnsi="Verdana" w:cs="Arial"/>
          <w:b/>
          <w:bCs/>
          <w:color w:val="000000"/>
          <w:sz w:val="24"/>
          <w:szCs w:val="24"/>
        </w:rPr>
      </w:pPr>
      <w:r w:rsidRPr="00BB3831">
        <w:rPr>
          <w:rFonts w:ascii="Verdana" w:eastAsia="Times New Roman" w:hAnsi="Verdana" w:cs="Arial"/>
          <w:b/>
          <w:bCs/>
          <w:color w:val="000000"/>
          <w:sz w:val="24"/>
          <w:szCs w:val="24"/>
        </w:rPr>
        <w:t>Improved human resources management</w:t>
      </w:r>
    </w:p>
    <w:p w:rsidR="00BB3831" w:rsidRPr="00BB3831" w:rsidRDefault="00BB3831" w:rsidP="00BB3831">
      <w:pPr>
        <w:numPr>
          <w:ilvl w:val="0"/>
          <w:numId w:val="4"/>
        </w:numPr>
        <w:autoSpaceDE w:val="0"/>
        <w:autoSpaceDN w:val="0"/>
        <w:adjustRightInd w:val="0"/>
        <w:spacing w:after="0" w:line="240" w:lineRule="auto"/>
        <w:jc w:val="both"/>
        <w:rPr>
          <w:rFonts w:ascii="Verdana" w:eastAsia="Times New Roman" w:hAnsi="Verdana" w:cs="Arial"/>
          <w:color w:val="000000"/>
          <w:sz w:val="24"/>
          <w:szCs w:val="24"/>
        </w:rPr>
      </w:pPr>
      <w:r w:rsidRPr="00BB3831">
        <w:rPr>
          <w:rFonts w:ascii="Verdana" w:eastAsia="Times New Roman" w:hAnsi="Verdana" w:cs="Arial"/>
          <w:color w:val="000000"/>
          <w:sz w:val="24"/>
          <w:szCs w:val="24"/>
        </w:rPr>
        <w:t xml:space="preserve">reduced staff turnover </w:t>
      </w:r>
    </w:p>
    <w:p w:rsidR="00BB3831" w:rsidRPr="00BB3831" w:rsidRDefault="00BB3831" w:rsidP="00BB3831">
      <w:pPr>
        <w:numPr>
          <w:ilvl w:val="0"/>
          <w:numId w:val="4"/>
        </w:numPr>
        <w:autoSpaceDE w:val="0"/>
        <w:autoSpaceDN w:val="0"/>
        <w:adjustRightInd w:val="0"/>
        <w:spacing w:after="0" w:line="240" w:lineRule="auto"/>
        <w:jc w:val="both"/>
        <w:rPr>
          <w:rFonts w:ascii="Verdana" w:eastAsia="Times New Roman" w:hAnsi="Verdana" w:cs="Arial"/>
          <w:color w:val="000000"/>
          <w:sz w:val="24"/>
          <w:szCs w:val="24"/>
        </w:rPr>
      </w:pPr>
      <w:r w:rsidRPr="00BB3831">
        <w:rPr>
          <w:rFonts w:ascii="Verdana" w:eastAsia="Times New Roman" w:hAnsi="Verdana" w:cs="Arial"/>
          <w:color w:val="000000"/>
          <w:sz w:val="24"/>
          <w:szCs w:val="24"/>
        </w:rPr>
        <w:t>reduced days lost to sickness</w:t>
      </w:r>
    </w:p>
    <w:p w:rsidR="00BB3831" w:rsidRPr="00BB3831" w:rsidRDefault="00BB3831" w:rsidP="00BB3831">
      <w:pPr>
        <w:autoSpaceDE w:val="0"/>
        <w:autoSpaceDN w:val="0"/>
        <w:adjustRightInd w:val="0"/>
        <w:spacing w:after="0" w:line="240" w:lineRule="auto"/>
        <w:jc w:val="both"/>
        <w:rPr>
          <w:rFonts w:ascii="Verdana" w:eastAsia="Times New Roman" w:hAnsi="Verdana" w:cs="Arial"/>
          <w:color w:val="002B6C"/>
          <w:sz w:val="20"/>
          <w:szCs w:val="28"/>
        </w:rPr>
      </w:pPr>
    </w:p>
    <w:p w:rsidR="00BB3831" w:rsidRPr="00BB3831" w:rsidRDefault="00BB3831" w:rsidP="00BB3831">
      <w:pPr>
        <w:autoSpaceDE w:val="0"/>
        <w:autoSpaceDN w:val="0"/>
        <w:adjustRightInd w:val="0"/>
        <w:spacing w:after="0" w:line="240" w:lineRule="auto"/>
        <w:jc w:val="both"/>
        <w:rPr>
          <w:rFonts w:ascii="Verdana" w:eastAsia="Times New Roman" w:hAnsi="Verdana" w:cs="Arial"/>
          <w:b/>
          <w:bCs/>
          <w:color w:val="000000"/>
          <w:sz w:val="24"/>
          <w:szCs w:val="24"/>
        </w:rPr>
      </w:pPr>
      <w:r w:rsidRPr="00BB3831">
        <w:rPr>
          <w:rFonts w:ascii="Verdana" w:eastAsia="Times New Roman" w:hAnsi="Verdana" w:cs="Arial"/>
          <w:b/>
          <w:bCs/>
          <w:color w:val="000000"/>
          <w:sz w:val="24"/>
          <w:szCs w:val="24"/>
        </w:rPr>
        <w:t>Improved corporate governance and compliance systems</w:t>
      </w:r>
    </w:p>
    <w:p w:rsidR="00BB3831" w:rsidRPr="00BB3831" w:rsidRDefault="00BB3831" w:rsidP="00BB3831">
      <w:pPr>
        <w:numPr>
          <w:ilvl w:val="0"/>
          <w:numId w:val="5"/>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reduction in legal challenges</w:t>
      </w:r>
    </w:p>
    <w:p w:rsidR="00BB3831" w:rsidRPr="00BB3831" w:rsidRDefault="00BB3831" w:rsidP="00BB3831">
      <w:pPr>
        <w:autoSpaceDE w:val="0"/>
        <w:autoSpaceDN w:val="0"/>
        <w:adjustRightInd w:val="0"/>
        <w:spacing w:after="0" w:line="240" w:lineRule="auto"/>
        <w:jc w:val="both"/>
        <w:rPr>
          <w:rFonts w:ascii="Verdana" w:eastAsia="Times New Roman" w:hAnsi="Verdana" w:cs="Arial"/>
          <w:sz w:val="20"/>
          <w:szCs w:val="28"/>
        </w:rPr>
      </w:pPr>
    </w:p>
    <w:p w:rsidR="00BB3831" w:rsidRPr="00BB3831" w:rsidRDefault="00BB3831" w:rsidP="00BB3831">
      <w:pPr>
        <w:autoSpaceDE w:val="0"/>
        <w:autoSpaceDN w:val="0"/>
        <w:adjustRightInd w:val="0"/>
        <w:spacing w:after="0" w:line="240" w:lineRule="auto"/>
        <w:jc w:val="both"/>
        <w:rPr>
          <w:rFonts w:ascii="Verdana" w:eastAsia="Times New Roman" w:hAnsi="Verdana" w:cs="Arial"/>
          <w:b/>
          <w:bCs/>
          <w:color w:val="000000"/>
          <w:sz w:val="24"/>
          <w:szCs w:val="24"/>
        </w:rPr>
      </w:pPr>
      <w:r w:rsidRPr="00BB3831">
        <w:rPr>
          <w:rFonts w:ascii="Verdana" w:eastAsia="Times New Roman" w:hAnsi="Verdana" w:cs="Arial"/>
          <w:b/>
          <w:bCs/>
          <w:color w:val="000000"/>
          <w:sz w:val="24"/>
          <w:szCs w:val="24"/>
        </w:rPr>
        <w:t>Improved insurance management</w:t>
      </w:r>
    </w:p>
    <w:p w:rsidR="00BB3831" w:rsidRPr="00BB3831" w:rsidRDefault="00BB3831" w:rsidP="00BB3831">
      <w:pPr>
        <w:numPr>
          <w:ilvl w:val="0"/>
          <w:numId w:val="6"/>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 xml:space="preserve">reduced cost of insurance premiums </w:t>
      </w:r>
    </w:p>
    <w:p w:rsidR="00BB3831" w:rsidRPr="00BB3831" w:rsidRDefault="00BB3831" w:rsidP="00BB3831">
      <w:pPr>
        <w:numPr>
          <w:ilvl w:val="0"/>
          <w:numId w:val="6"/>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 xml:space="preserve">lower frequency and severity of claims </w:t>
      </w:r>
    </w:p>
    <w:p w:rsidR="00BB3831" w:rsidRPr="00BB3831" w:rsidRDefault="00BB3831" w:rsidP="00BB3831">
      <w:pPr>
        <w:numPr>
          <w:ilvl w:val="0"/>
          <w:numId w:val="6"/>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reduced uninsured losses</w:t>
      </w:r>
    </w:p>
    <w:p w:rsidR="00BB3831" w:rsidRPr="00BB3831" w:rsidRDefault="00BB3831" w:rsidP="00BB3831">
      <w:pPr>
        <w:spacing w:after="0" w:line="240" w:lineRule="auto"/>
        <w:rPr>
          <w:rFonts w:ascii="Arial" w:eastAsia="Times New Roman" w:hAnsi="Arial" w:cs="Arial"/>
          <w:sz w:val="20"/>
        </w:rPr>
      </w:pPr>
    </w:p>
    <w:p w:rsidR="00BB3831" w:rsidRPr="00BB3831" w:rsidRDefault="00BB3831" w:rsidP="00BB3831">
      <w:pPr>
        <w:autoSpaceDE w:val="0"/>
        <w:autoSpaceDN w:val="0"/>
        <w:adjustRightInd w:val="0"/>
        <w:spacing w:after="0" w:line="240" w:lineRule="auto"/>
        <w:rPr>
          <w:rFonts w:ascii="Arial" w:eastAsia="Times New Roman" w:hAnsi="Arial" w:cs="Arial"/>
          <w:b/>
          <w:bCs/>
          <w:sz w:val="20"/>
        </w:rPr>
      </w:pPr>
    </w:p>
    <w:p w:rsidR="00BB3831" w:rsidRPr="00BB3831" w:rsidRDefault="00BB3831" w:rsidP="00BB3831">
      <w:pPr>
        <w:autoSpaceDE w:val="0"/>
        <w:autoSpaceDN w:val="0"/>
        <w:adjustRightInd w:val="0"/>
        <w:spacing w:after="0" w:line="240" w:lineRule="auto"/>
        <w:rPr>
          <w:rFonts w:ascii="Verdana" w:eastAsia="Times New Roman" w:hAnsi="Verdana" w:cs="Arial"/>
          <w:b/>
          <w:bCs/>
          <w:sz w:val="20"/>
        </w:rPr>
      </w:pPr>
      <w:r w:rsidRPr="00BB3831">
        <w:rPr>
          <w:rFonts w:ascii="Verdana" w:eastAsia="Times New Roman" w:hAnsi="Verdana" w:cs="Arial"/>
          <w:b/>
          <w:bCs/>
          <w:sz w:val="24"/>
          <w:szCs w:val="24"/>
        </w:rPr>
        <w:t>8.</w:t>
      </w:r>
      <w:r w:rsidRPr="00BB3831">
        <w:rPr>
          <w:rFonts w:ascii="Verdana" w:eastAsia="Times New Roman" w:hAnsi="Verdana" w:cs="Arial"/>
          <w:b/>
          <w:bCs/>
          <w:sz w:val="20"/>
        </w:rPr>
        <w:tab/>
      </w:r>
      <w:r w:rsidRPr="00BB3831">
        <w:rPr>
          <w:rFonts w:ascii="Verdana" w:eastAsia="Times New Roman" w:hAnsi="Verdana" w:cs="Arial"/>
          <w:b/>
          <w:bCs/>
          <w:sz w:val="24"/>
          <w:szCs w:val="24"/>
        </w:rPr>
        <w:t xml:space="preserve">Risk Management </w:t>
      </w:r>
      <w:r w:rsidR="00CC475F">
        <w:rPr>
          <w:rFonts w:ascii="Verdana" w:eastAsia="Times New Roman" w:hAnsi="Verdana" w:cs="Arial"/>
          <w:b/>
          <w:bCs/>
          <w:sz w:val="24"/>
          <w:szCs w:val="24"/>
        </w:rPr>
        <w:t>o</w:t>
      </w:r>
      <w:r w:rsidRPr="00BB3831">
        <w:rPr>
          <w:rFonts w:ascii="Verdana" w:eastAsia="Times New Roman" w:hAnsi="Verdana" w:cs="Arial"/>
          <w:b/>
          <w:bCs/>
          <w:sz w:val="24"/>
          <w:szCs w:val="24"/>
        </w:rPr>
        <w:t>bjectives</w:t>
      </w:r>
    </w:p>
    <w:p w:rsidR="00BB3831" w:rsidRPr="00BB3831" w:rsidRDefault="00BB3831" w:rsidP="00BB3831">
      <w:pPr>
        <w:autoSpaceDE w:val="0"/>
        <w:autoSpaceDN w:val="0"/>
        <w:adjustRightInd w:val="0"/>
        <w:spacing w:after="0" w:line="240" w:lineRule="auto"/>
        <w:jc w:val="both"/>
        <w:rPr>
          <w:rFonts w:ascii="Verdana" w:eastAsia="Times New Roman" w:hAnsi="Verdana" w:cs="Arial"/>
          <w:b/>
          <w:bCs/>
          <w:color w:val="000000"/>
          <w:sz w:val="20"/>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Oxford City Council’s objectives are to:</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Further embed effective risk management across the Council  making it part of all decision making processes</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Continue to actively assess and manage risks and circumstances that could hamper the delivery of services, including early warning mechanisms</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Provide a framework and support so that risks do not become an inhibiting factor in decision making</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Continue to build the confidence to innovate through the use of good risk management practices</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Manage corporate and service area risk in accordance with best practice, as part of good corporate governance</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 xml:space="preserve">Create effective processes that will allow the Council to make risk management assurance statements annually. </w:t>
      </w:r>
    </w:p>
    <w:p w:rsidR="00BB3831" w:rsidRPr="00BB3831" w:rsidRDefault="00BB3831" w:rsidP="00BB3831">
      <w:pPr>
        <w:overflowPunct w:val="0"/>
        <w:autoSpaceDE w:val="0"/>
        <w:autoSpaceDN w:val="0"/>
        <w:adjustRightInd w:val="0"/>
        <w:spacing w:after="220" w:line="240" w:lineRule="auto"/>
        <w:jc w:val="both"/>
        <w:textAlignment w:val="baseline"/>
        <w:rPr>
          <w:rFonts w:ascii="Verdana" w:eastAsia="Times New Roman" w:hAnsi="Verdana" w:cs="Arial"/>
          <w:sz w:val="24"/>
          <w:szCs w:val="24"/>
        </w:rPr>
      </w:pPr>
      <w:r w:rsidRPr="00BB3831">
        <w:rPr>
          <w:rFonts w:ascii="Verdana" w:eastAsia="Times New Roman" w:hAnsi="Verdana" w:cs="Arial"/>
          <w:sz w:val="24"/>
          <w:szCs w:val="24"/>
        </w:rPr>
        <w:lastRenderedPageBreak/>
        <w:t>To achieve these objectives, we will continue to develop risk management processes and procedures by:</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Reviewing the Risk Management Strategy and Operating Framework on a periodic basis</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 xml:space="preserve">Establishing clear accountabilities, roles and reporting lines across all directorates </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 xml:space="preserve">Train staff across the Council providing them with the necessary awareness, skills and expertise </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Providing for risk assessment in all decision making processes of the Council</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Developing arrangements for the integrated reporting of risk</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Developing a control framework which provides assurance that risks identified are being managed</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Ensuring appropriate consideration of risk within the strategic planning process</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0"/>
        </w:rPr>
      </w:pPr>
      <w:r w:rsidRPr="00BB3831">
        <w:rPr>
          <w:rFonts w:ascii="Verdana" w:eastAsia="Times New Roman" w:hAnsi="Verdana" w:cs="Arial"/>
          <w:sz w:val="24"/>
          <w:szCs w:val="24"/>
        </w:rPr>
        <w:t>Ensuring that partners, providers and delivery agents are aware of the Council’s expectations on risk management</w:t>
      </w:r>
    </w:p>
    <w:p w:rsidR="00BB3831" w:rsidRDefault="00BB3831"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Pr="00BB3831"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numPr>
          <w:ilvl w:val="0"/>
          <w:numId w:val="12"/>
        </w:numPr>
        <w:tabs>
          <w:tab w:val="num" w:pos="720"/>
        </w:tabs>
        <w:spacing w:after="0" w:line="240" w:lineRule="auto"/>
        <w:ind w:hanging="1080"/>
        <w:rPr>
          <w:rFonts w:ascii="Verdana" w:eastAsia="Times New Roman" w:hAnsi="Verdana" w:cs="Arial"/>
          <w:b/>
          <w:sz w:val="24"/>
          <w:szCs w:val="24"/>
        </w:rPr>
      </w:pPr>
      <w:r w:rsidRPr="00BB3831">
        <w:rPr>
          <w:rFonts w:ascii="Verdana" w:eastAsia="Times New Roman" w:hAnsi="Verdana" w:cs="Arial"/>
          <w:b/>
          <w:sz w:val="24"/>
          <w:szCs w:val="24"/>
        </w:rPr>
        <w:lastRenderedPageBreak/>
        <w:t>Risk Management Approach</w:t>
      </w:r>
    </w:p>
    <w:p w:rsidR="00BB3831" w:rsidRPr="00BB3831" w:rsidRDefault="00BB3831" w:rsidP="00BB3831">
      <w:pPr>
        <w:spacing w:after="0" w:line="240" w:lineRule="auto"/>
        <w:ind w:left="720"/>
        <w:rPr>
          <w:rFonts w:ascii="Verdana" w:eastAsia="Times New Roman" w:hAnsi="Verdana" w:cs="Arial"/>
          <w:b/>
          <w:sz w:val="20"/>
        </w:rPr>
      </w:pPr>
    </w:p>
    <w:p w:rsidR="00BB3831" w:rsidRPr="00BB3831" w:rsidRDefault="00BB3831" w:rsidP="00BB3831">
      <w:pPr>
        <w:spacing w:after="0" w:line="240" w:lineRule="auto"/>
        <w:rPr>
          <w:rFonts w:ascii="Verdana" w:eastAsia="Times New Roman" w:hAnsi="Verdana" w:cs="Arial"/>
          <w:b/>
        </w:rPr>
      </w:pPr>
      <w:r w:rsidRPr="00BB3831">
        <w:rPr>
          <w:rFonts w:ascii="Verdana" w:eastAsia="Times New Roman" w:hAnsi="Verdana" w:cs="Arial"/>
          <w:b/>
        </w:rPr>
        <w:t xml:space="preserve">9.1 Risk Management Cycle </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b/>
          <w:bCs/>
          <w:sz w:val="20"/>
          <w:szCs w:val="14"/>
        </w:rPr>
      </w:pPr>
    </w:p>
    <w:p w:rsidR="00BB3831" w:rsidRPr="00BB3831" w:rsidRDefault="00BB3831" w:rsidP="00BB3831">
      <w:pPr>
        <w:spacing w:after="0" w:line="240" w:lineRule="auto"/>
        <w:rPr>
          <w:rFonts w:ascii="Arial" w:eastAsia="Times New Roman" w:hAnsi="Arial" w:cs="Arial"/>
          <w:b/>
          <w:bCs/>
          <w:sz w:val="20"/>
          <w:szCs w:val="14"/>
        </w:rPr>
      </w:pPr>
      <w:r>
        <w:rPr>
          <w:rFonts w:ascii="Verdana" w:eastAsia="Times New Roman" w:hAnsi="Verdana" w:cs="Times New Roman"/>
          <w:noProof/>
          <w:sz w:val="24"/>
          <w:szCs w:val="24"/>
          <w:lang w:eastAsia="en-GB"/>
        </w:rPr>
        <w:drawing>
          <wp:inline distT="0" distB="0" distL="0" distR="0">
            <wp:extent cx="5486400" cy="3201670"/>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B3831" w:rsidRPr="00BB3831" w:rsidRDefault="00BB3831" w:rsidP="00BB3831">
      <w:pPr>
        <w:spacing w:after="0" w:line="240" w:lineRule="auto"/>
        <w:rPr>
          <w:rFonts w:ascii="Arial" w:eastAsia="Times New Roman" w:hAnsi="Arial" w:cs="Arial"/>
          <w:b/>
          <w:bCs/>
          <w:sz w:val="20"/>
          <w:szCs w:val="14"/>
        </w:rPr>
      </w:pPr>
    </w:p>
    <w:p w:rsidR="00BB3831" w:rsidRPr="00BB3831" w:rsidRDefault="00BB3831" w:rsidP="00BB3831">
      <w:pPr>
        <w:spacing w:after="0" w:line="240" w:lineRule="auto"/>
        <w:rPr>
          <w:rFonts w:ascii="Arial" w:eastAsia="Times New Roman" w:hAnsi="Arial" w:cs="Arial"/>
          <w:b/>
          <w:bCs/>
          <w:sz w:val="20"/>
          <w:szCs w:val="14"/>
        </w:rPr>
      </w:pPr>
    </w:p>
    <w:p w:rsidR="00BB3831" w:rsidRPr="00BB3831" w:rsidRDefault="00BB3831" w:rsidP="00BB3831">
      <w:pPr>
        <w:spacing w:after="0" w:line="240" w:lineRule="auto"/>
        <w:rPr>
          <w:rFonts w:ascii="Verdana" w:eastAsia="Times New Roman" w:hAnsi="Verdana" w:cs="Arial"/>
          <w:b/>
          <w:bCs/>
          <w:sz w:val="20"/>
          <w:szCs w:val="14"/>
        </w:rPr>
      </w:pPr>
    </w:p>
    <w:p w:rsidR="00BB3831" w:rsidRPr="00BB3831" w:rsidRDefault="00BB3831" w:rsidP="00BB3831">
      <w:pPr>
        <w:spacing w:after="0" w:line="240" w:lineRule="auto"/>
        <w:rPr>
          <w:rFonts w:ascii="Verdana" w:eastAsia="Arial Unicode MS" w:hAnsi="Verdana" w:cs="Arial"/>
          <w:b/>
          <w:bCs/>
          <w:sz w:val="24"/>
          <w:szCs w:val="24"/>
        </w:rPr>
      </w:pPr>
      <w:r w:rsidRPr="00BB3831">
        <w:rPr>
          <w:rFonts w:ascii="Verdana" w:eastAsia="Times New Roman" w:hAnsi="Verdana" w:cs="Arial"/>
          <w:b/>
          <w:bCs/>
          <w:sz w:val="24"/>
          <w:szCs w:val="24"/>
        </w:rPr>
        <w:t>9.2</w:t>
      </w:r>
      <w:r w:rsidRPr="00BB3831">
        <w:rPr>
          <w:rFonts w:ascii="Verdana" w:eastAsia="Times New Roman" w:hAnsi="Verdana" w:cs="Arial"/>
          <w:b/>
          <w:bCs/>
          <w:sz w:val="24"/>
          <w:szCs w:val="24"/>
        </w:rPr>
        <w:tab/>
        <w:t>Risk Identification</w:t>
      </w:r>
    </w:p>
    <w:p w:rsidR="00BB3831" w:rsidRPr="00BB3831" w:rsidRDefault="00BB3831" w:rsidP="00BB3831">
      <w:pPr>
        <w:spacing w:after="0" w:line="240" w:lineRule="auto"/>
        <w:rPr>
          <w:rFonts w:ascii="Verdana" w:eastAsia="Times New Roman" w:hAnsi="Verdana" w:cs="Arial"/>
          <w:b/>
          <w:bCs/>
          <w:sz w:val="20"/>
          <w:szCs w:val="14"/>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Corporate Risks</w:t>
      </w:r>
    </w:p>
    <w:p w:rsidR="00BB3831" w:rsidRPr="00BB3831" w:rsidRDefault="00BB3831" w:rsidP="00BB3831">
      <w:pPr>
        <w:spacing w:after="0" w:line="240" w:lineRule="auto"/>
        <w:rPr>
          <w:rFonts w:ascii="Verdana" w:eastAsia="Times New Roman" w:hAnsi="Verdana" w:cs="Arial"/>
          <w:b/>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Corporate Risk Register (CRR) is reviewed by the Corporate Management Team (CMT) on a quarterly basis any new risks are incorporated into a revised version of the</w:t>
      </w:r>
      <w:r w:rsidR="00EB71BF">
        <w:rPr>
          <w:rFonts w:ascii="Verdana" w:eastAsia="Times New Roman" w:hAnsi="Verdana" w:cs="Arial"/>
          <w:sz w:val="24"/>
          <w:szCs w:val="24"/>
        </w:rPr>
        <w:t xml:space="preserve"> CRR. Risk owners for Corporate Risks </w:t>
      </w:r>
      <w:r w:rsidRPr="00BB3831">
        <w:rPr>
          <w:rFonts w:ascii="Verdana" w:eastAsia="Times New Roman" w:hAnsi="Verdana" w:cs="Arial"/>
          <w:sz w:val="24"/>
          <w:szCs w:val="24"/>
        </w:rPr>
        <w:t xml:space="preserve">are generally held at Director </w:t>
      </w:r>
      <w:proofErr w:type="gramStart"/>
      <w:r w:rsidRPr="00BB3831">
        <w:rPr>
          <w:rFonts w:ascii="Verdana" w:eastAsia="Times New Roman" w:hAnsi="Verdana" w:cs="Arial"/>
          <w:sz w:val="24"/>
          <w:szCs w:val="24"/>
        </w:rPr>
        <w:t>level</w:t>
      </w:r>
      <w:proofErr w:type="gramEnd"/>
      <w:r w:rsidRPr="00BB3831">
        <w:rPr>
          <w:rFonts w:ascii="Verdana" w:eastAsia="Times New Roman" w:hAnsi="Verdana" w:cs="Arial"/>
          <w:sz w:val="24"/>
          <w:szCs w:val="24"/>
        </w:rPr>
        <w:t>.</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Service Risks</w:t>
      </w:r>
    </w:p>
    <w:p w:rsidR="00BB3831" w:rsidRPr="00BB3831" w:rsidRDefault="00BB3831" w:rsidP="00BB3831">
      <w:pPr>
        <w:spacing w:after="0" w:line="240" w:lineRule="auto"/>
        <w:rPr>
          <w:rFonts w:ascii="Verdana" w:eastAsia="Times New Roman" w:hAnsi="Verdana" w:cs="Arial"/>
          <w:b/>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Service Area risks are reviewed periodically by Heads of Service and Service Managers. High (red) risks should be raised on a quarterly basis and reviewed by Corporate Management Team for potential inclusion in the </w:t>
      </w:r>
      <w:r w:rsidR="00EB71BF">
        <w:rPr>
          <w:rFonts w:ascii="Verdana" w:eastAsia="Times New Roman" w:hAnsi="Verdana" w:cs="Arial"/>
          <w:sz w:val="24"/>
          <w:szCs w:val="24"/>
        </w:rPr>
        <w:t>C</w:t>
      </w:r>
      <w:r w:rsidRPr="00BB3831">
        <w:rPr>
          <w:rFonts w:ascii="Verdana" w:eastAsia="Times New Roman" w:hAnsi="Verdana" w:cs="Arial"/>
          <w:sz w:val="24"/>
          <w:szCs w:val="24"/>
        </w:rPr>
        <w:t xml:space="preserve">ouncils Corporate Risk Register. </w:t>
      </w:r>
    </w:p>
    <w:p w:rsidR="00BB3831" w:rsidRPr="00BB3831" w:rsidRDefault="00BB3831" w:rsidP="00BB3831">
      <w:pPr>
        <w:spacing w:after="0" w:line="240" w:lineRule="auto"/>
        <w:rPr>
          <w:rFonts w:ascii="Arial" w:eastAsia="Times New Roman" w:hAnsi="Arial" w:cs="Arial"/>
          <w:b/>
          <w:sz w:val="24"/>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Verdana" w:eastAsia="Arial Unicode MS" w:hAnsi="Verdana" w:cs="Arial"/>
          <w:b/>
          <w:bCs/>
          <w:sz w:val="24"/>
          <w:szCs w:val="24"/>
        </w:rPr>
      </w:pPr>
      <w:r w:rsidRPr="00BB3831">
        <w:rPr>
          <w:rFonts w:ascii="Verdana" w:eastAsia="Times New Roman" w:hAnsi="Verdana" w:cs="Arial"/>
          <w:b/>
          <w:bCs/>
          <w:sz w:val="24"/>
          <w:szCs w:val="24"/>
        </w:rPr>
        <w:lastRenderedPageBreak/>
        <w:t>9.3</w:t>
      </w:r>
      <w:r w:rsidRPr="00BB3831">
        <w:rPr>
          <w:rFonts w:ascii="Verdana" w:eastAsia="Times New Roman" w:hAnsi="Verdana" w:cs="Arial"/>
          <w:b/>
          <w:bCs/>
          <w:sz w:val="20"/>
          <w:szCs w:val="14"/>
        </w:rPr>
        <w:tab/>
      </w:r>
      <w:r w:rsidRPr="00BB3831">
        <w:rPr>
          <w:rFonts w:ascii="Verdana" w:eastAsia="Times New Roman" w:hAnsi="Verdana" w:cs="Arial"/>
          <w:b/>
          <w:bCs/>
          <w:sz w:val="24"/>
          <w:szCs w:val="24"/>
        </w:rPr>
        <w:t>Evaluation &amp; Prioritisation</w:t>
      </w:r>
    </w:p>
    <w:p w:rsidR="00BB3831" w:rsidRPr="00BB3831" w:rsidRDefault="00BB3831" w:rsidP="00BB3831">
      <w:pPr>
        <w:spacing w:after="0" w:line="240" w:lineRule="auto"/>
        <w:rPr>
          <w:rFonts w:ascii="Verdana" w:eastAsia="Times New Roman" w:hAnsi="Verdana" w:cs="Arial"/>
          <w:b/>
          <w:bCs/>
          <w:sz w:val="20"/>
          <w:szCs w:val="1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Risks are evaluated to consider the </w:t>
      </w:r>
      <w:r w:rsidRPr="00BB3831">
        <w:rPr>
          <w:rFonts w:ascii="Verdana" w:eastAsia="Times New Roman" w:hAnsi="Verdana" w:cs="Arial"/>
          <w:b/>
          <w:bCs/>
          <w:sz w:val="24"/>
          <w:szCs w:val="24"/>
        </w:rPr>
        <w:t xml:space="preserve">probability </w:t>
      </w:r>
      <w:r w:rsidRPr="00BB3831">
        <w:rPr>
          <w:rFonts w:ascii="Verdana" w:eastAsia="Times New Roman" w:hAnsi="Verdana" w:cs="Arial"/>
          <w:sz w:val="24"/>
          <w:szCs w:val="24"/>
        </w:rPr>
        <w:t xml:space="preserve">of the risk transpiring and the </w:t>
      </w:r>
      <w:r w:rsidRPr="00BB3831">
        <w:rPr>
          <w:rFonts w:ascii="Verdana" w:eastAsia="Times New Roman" w:hAnsi="Verdana" w:cs="Arial"/>
          <w:b/>
          <w:bCs/>
          <w:sz w:val="24"/>
          <w:szCs w:val="24"/>
        </w:rPr>
        <w:t>impact</w:t>
      </w:r>
      <w:r w:rsidRPr="00BB3831">
        <w:rPr>
          <w:rFonts w:ascii="Verdana" w:eastAsia="Times New Roman" w:hAnsi="Verdana" w:cs="Arial"/>
          <w:sz w:val="24"/>
          <w:szCs w:val="24"/>
        </w:rPr>
        <w:t xml:space="preserve"> if the risk were to transpire.</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Impact – </w:t>
      </w:r>
      <w:r w:rsidRPr="00BB3831">
        <w:rPr>
          <w:rFonts w:ascii="Verdana" w:eastAsia="Times New Roman" w:hAnsi="Verdana" w:cs="Arial"/>
          <w:sz w:val="24"/>
          <w:szCs w:val="24"/>
          <w:u w:val="single"/>
        </w:rPr>
        <w:t>What will happen</w:t>
      </w:r>
      <w:r w:rsidRPr="00BB3831">
        <w:rPr>
          <w:rFonts w:ascii="Verdana" w:eastAsia="Times New Roman" w:hAnsi="Verdana" w:cs="Arial"/>
          <w:sz w:val="24"/>
          <w:szCs w:val="24"/>
        </w:rPr>
        <w:t xml:space="preserve"> if the risk occurs?</w:t>
      </w: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Probability – </w:t>
      </w:r>
      <w:r w:rsidRPr="00BB3831">
        <w:rPr>
          <w:rFonts w:ascii="Verdana" w:eastAsia="Times New Roman" w:hAnsi="Verdana" w:cs="Arial"/>
          <w:sz w:val="24"/>
          <w:szCs w:val="24"/>
          <w:u w:val="single"/>
        </w:rPr>
        <w:t>How likely</w:t>
      </w:r>
      <w:r w:rsidRPr="00BB3831">
        <w:rPr>
          <w:rFonts w:ascii="Verdana" w:eastAsia="Times New Roman" w:hAnsi="Verdana" w:cs="Arial"/>
          <w:sz w:val="24"/>
          <w:szCs w:val="24"/>
        </w:rPr>
        <w:t xml:space="preserve"> is it that this risk will occur </w:t>
      </w:r>
    </w:p>
    <w:p w:rsidR="00BB3831" w:rsidRPr="00BB3831" w:rsidRDefault="00BB3831" w:rsidP="00BB3831">
      <w:pPr>
        <w:spacing w:after="0" w:line="240" w:lineRule="auto"/>
        <w:rPr>
          <w:rFonts w:ascii="Arial" w:eastAsia="Times New Roman" w:hAnsi="Arial" w:cs="Arial"/>
          <w:sz w:val="24"/>
          <w:szCs w:val="24"/>
        </w:rPr>
      </w:pPr>
    </w:p>
    <w:p w:rsidR="00BB3831" w:rsidRPr="00BB3831" w:rsidRDefault="00BB3831" w:rsidP="00BB3831">
      <w:pPr>
        <w:spacing w:after="0" w:line="240" w:lineRule="auto"/>
        <w:rPr>
          <w:rFonts w:ascii="Arial" w:eastAsia="Times New Roman" w:hAnsi="Arial" w:cs="Arial"/>
          <w:sz w:val="20"/>
          <w:szCs w:val="14"/>
        </w:rPr>
      </w:pPr>
    </w:p>
    <w:p w:rsidR="00BB3831" w:rsidRPr="00BB3831" w:rsidRDefault="00BB3831" w:rsidP="00BB3831">
      <w:pPr>
        <w:spacing w:after="0" w:line="240" w:lineRule="auto"/>
        <w:rPr>
          <w:rFonts w:ascii="Arial" w:eastAsia="Times New Roman" w:hAnsi="Arial" w:cs="Arial"/>
          <w:sz w:val="20"/>
          <w:szCs w:val="14"/>
        </w:rPr>
      </w:pPr>
    </w:p>
    <w:tbl>
      <w:tblPr>
        <w:tblW w:w="5511" w:type="pct"/>
        <w:tblInd w:w="-935" w:type="dxa"/>
        <w:tblLayout w:type="fixed"/>
        <w:tblCellMar>
          <w:left w:w="0" w:type="dxa"/>
          <w:right w:w="0" w:type="dxa"/>
        </w:tblCellMar>
        <w:tblLook w:val="0000" w:firstRow="0" w:lastRow="0" w:firstColumn="0" w:lastColumn="0" w:noHBand="0" w:noVBand="0"/>
      </w:tblPr>
      <w:tblGrid>
        <w:gridCol w:w="917"/>
        <w:gridCol w:w="1561"/>
        <w:gridCol w:w="994"/>
        <w:gridCol w:w="1429"/>
        <w:gridCol w:w="1174"/>
        <w:gridCol w:w="1172"/>
        <w:gridCol w:w="1170"/>
        <w:gridCol w:w="1565"/>
      </w:tblGrid>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rPr>
            </w:pPr>
          </w:p>
          <w:p w:rsidR="00BB3831" w:rsidRPr="00BB3831" w:rsidRDefault="00BB3831" w:rsidP="00BB3831">
            <w:pPr>
              <w:spacing w:after="0" w:line="240" w:lineRule="auto"/>
              <w:rPr>
                <w:rFonts w:ascii="Verdana" w:eastAsia="Times New Roman" w:hAnsi="Verdana" w:cs="Arial"/>
              </w:rPr>
            </w:pPr>
          </w:p>
          <w:p w:rsidR="00BB3831" w:rsidRPr="00BB3831" w:rsidRDefault="00BB3831" w:rsidP="00BB3831">
            <w:pPr>
              <w:spacing w:after="0" w:line="240" w:lineRule="auto"/>
              <w:rPr>
                <w:rFonts w:ascii="Verdana" w:eastAsia="Times New Roman" w:hAnsi="Verdana" w:cs="Arial"/>
              </w:rPr>
            </w:pPr>
          </w:p>
        </w:tc>
        <w:tc>
          <w:tcPr>
            <w:tcW w:w="782"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b/>
                <w:bCs/>
              </w:rPr>
            </w:pPr>
            <w:r w:rsidRPr="00BB3831">
              <w:rPr>
                <w:rFonts w:ascii="Verdana" w:eastAsia="Times New Roman" w:hAnsi="Verdana" w:cs="Arial"/>
                <w:b/>
                <w:bCs/>
              </w:rPr>
              <w:t>Probability</w:t>
            </w:r>
          </w:p>
        </w:tc>
        <w:tc>
          <w:tcPr>
            <w:tcW w:w="498"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716" w:type="pct"/>
            <w:tcBorders>
              <w:top w:val="nil"/>
              <w:left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588" w:type="pct"/>
            <w:tcBorders>
              <w:top w:val="nil"/>
              <w:left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587" w:type="pct"/>
            <w:tcBorders>
              <w:top w:val="nil"/>
              <w:left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586"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784"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Almost Certain</w:t>
            </w:r>
          </w:p>
        </w:tc>
        <w:tc>
          <w:tcPr>
            <w:tcW w:w="498" w:type="pct"/>
            <w:tcBorders>
              <w:top w:val="nil"/>
              <w:left w:val="nil"/>
              <w:bottom w:val="nil"/>
              <w:right w:val="single" w:sz="18" w:space="0" w:color="auto"/>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5</w:t>
            </w:r>
          </w:p>
        </w:tc>
        <w:tc>
          <w:tcPr>
            <w:tcW w:w="716" w:type="pct"/>
            <w:tcBorders>
              <w:top w:val="nil"/>
              <w:left w:val="single" w:sz="18" w:space="0" w:color="auto"/>
              <w:bottom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5</w:t>
            </w:r>
          </w:p>
        </w:tc>
        <w:tc>
          <w:tcPr>
            <w:tcW w:w="588" w:type="pct"/>
            <w:tcBorders>
              <w:top w:val="nil"/>
              <w:left w:val="nil"/>
              <w:bottom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10</w:t>
            </w:r>
          </w:p>
        </w:tc>
        <w:tc>
          <w:tcPr>
            <w:tcW w:w="587" w:type="pct"/>
            <w:tcBorders>
              <w:top w:val="nil"/>
              <w:left w:val="nil"/>
              <w:bottom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15</w:t>
            </w:r>
          </w:p>
        </w:tc>
        <w:tc>
          <w:tcPr>
            <w:tcW w:w="586" w:type="pct"/>
            <w:tcBorders>
              <w:top w:val="nil"/>
              <w:left w:val="nil"/>
              <w:bottom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20</w:t>
            </w:r>
          </w:p>
        </w:tc>
        <w:tc>
          <w:tcPr>
            <w:tcW w:w="784" w:type="pct"/>
            <w:tcBorders>
              <w:top w:val="nil"/>
              <w:left w:val="nil"/>
              <w:bottom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25</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Likely</w:t>
            </w:r>
          </w:p>
        </w:tc>
        <w:tc>
          <w:tcPr>
            <w:tcW w:w="498" w:type="pct"/>
            <w:tcBorders>
              <w:top w:val="nil"/>
              <w:left w:val="nil"/>
              <w:bottom w:val="nil"/>
              <w:right w:val="single" w:sz="18" w:space="0" w:color="auto"/>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4</w:t>
            </w:r>
          </w:p>
        </w:tc>
        <w:tc>
          <w:tcPr>
            <w:tcW w:w="716" w:type="pct"/>
            <w:tcBorders>
              <w:top w:val="nil"/>
              <w:left w:val="single" w:sz="18" w:space="0" w:color="auto"/>
              <w:bottom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4</w:t>
            </w:r>
          </w:p>
        </w:tc>
        <w:tc>
          <w:tcPr>
            <w:tcW w:w="588" w:type="pct"/>
            <w:tcBorders>
              <w:top w:val="nil"/>
              <w:left w:val="nil"/>
              <w:bottom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8</w:t>
            </w:r>
          </w:p>
        </w:tc>
        <w:tc>
          <w:tcPr>
            <w:tcW w:w="587" w:type="pct"/>
            <w:tcBorders>
              <w:top w:val="nil"/>
              <w:left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12</w:t>
            </w:r>
          </w:p>
        </w:tc>
        <w:tc>
          <w:tcPr>
            <w:tcW w:w="586" w:type="pct"/>
            <w:tcBorders>
              <w:top w:val="nil"/>
              <w:left w:val="nil"/>
              <w:bottom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16</w:t>
            </w:r>
          </w:p>
        </w:tc>
        <w:tc>
          <w:tcPr>
            <w:tcW w:w="784" w:type="pct"/>
            <w:tcBorders>
              <w:top w:val="nil"/>
              <w:left w:val="nil"/>
              <w:bottom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20</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Possible</w:t>
            </w:r>
          </w:p>
        </w:tc>
        <w:tc>
          <w:tcPr>
            <w:tcW w:w="498" w:type="pct"/>
            <w:tcBorders>
              <w:top w:val="nil"/>
              <w:left w:val="nil"/>
              <w:bottom w:val="nil"/>
              <w:right w:val="single" w:sz="18" w:space="0" w:color="auto"/>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3</w:t>
            </w:r>
          </w:p>
        </w:tc>
        <w:tc>
          <w:tcPr>
            <w:tcW w:w="716" w:type="pct"/>
            <w:tcBorders>
              <w:top w:val="nil"/>
              <w:left w:val="single" w:sz="18" w:space="0" w:color="auto"/>
              <w:bottom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3</w:t>
            </w:r>
          </w:p>
        </w:tc>
        <w:tc>
          <w:tcPr>
            <w:tcW w:w="588" w:type="pct"/>
            <w:tcBorders>
              <w:top w:val="nil"/>
              <w:left w:val="nil"/>
              <w:bottom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6</w:t>
            </w:r>
          </w:p>
        </w:tc>
        <w:tc>
          <w:tcPr>
            <w:tcW w:w="587" w:type="pct"/>
            <w:tcBorders>
              <w:top w:val="nil"/>
              <w:left w:val="nil"/>
              <w:bottom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9</w:t>
            </w:r>
          </w:p>
        </w:tc>
        <w:tc>
          <w:tcPr>
            <w:tcW w:w="586" w:type="pct"/>
            <w:tcBorders>
              <w:top w:val="nil"/>
              <w:left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12</w:t>
            </w:r>
          </w:p>
        </w:tc>
        <w:tc>
          <w:tcPr>
            <w:tcW w:w="784" w:type="pct"/>
            <w:tcBorders>
              <w:top w:val="nil"/>
              <w:left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15</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Unlikely</w:t>
            </w:r>
          </w:p>
        </w:tc>
        <w:tc>
          <w:tcPr>
            <w:tcW w:w="498" w:type="pct"/>
            <w:tcBorders>
              <w:top w:val="nil"/>
              <w:left w:val="nil"/>
              <w:bottom w:val="nil"/>
              <w:right w:val="single" w:sz="18" w:space="0" w:color="auto"/>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2</w:t>
            </w:r>
          </w:p>
        </w:tc>
        <w:tc>
          <w:tcPr>
            <w:tcW w:w="716" w:type="pct"/>
            <w:tcBorders>
              <w:top w:val="nil"/>
              <w:left w:val="single" w:sz="18" w:space="0" w:color="auto"/>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2</w:t>
            </w:r>
          </w:p>
        </w:tc>
        <w:tc>
          <w:tcPr>
            <w:tcW w:w="588" w:type="pct"/>
            <w:tcBorders>
              <w:top w:val="nil"/>
              <w:left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4</w:t>
            </w:r>
          </w:p>
        </w:tc>
        <w:tc>
          <w:tcPr>
            <w:tcW w:w="587" w:type="pct"/>
            <w:tcBorders>
              <w:top w:val="nil"/>
              <w:left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6</w:t>
            </w:r>
          </w:p>
        </w:tc>
        <w:tc>
          <w:tcPr>
            <w:tcW w:w="586" w:type="pct"/>
            <w:tcBorders>
              <w:top w:val="nil"/>
              <w:left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8</w:t>
            </w:r>
          </w:p>
        </w:tc>
        <w:tc>
          <w:tcPr>
            <w:tcW w:w="784" w:type="pct"/>
            <w:tcBorders>
              <w:top w:val="nil"/>
              <w:left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10</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Rare</w:t>
            </w:r>
          </w:p>
        </w:tc>
        <w:tc>
          <w:tcPr>
            <w:tcW w:w="498" w:type="pct"/>
            <w:tcBorders>
              <w:top w:val="nil"/>
              <w:left w:val="nil"/>
              <w:bottom w:val="nil"/>
              <w:right w:val="single" w:sz="18" w:space="0" w:color="auto"/>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1</w:t>
            </w:r>
          </w:p>
        </w:tc>
        <w:tc>
          <w:tcPr>
            <w:tcW w:w="716" w:type="pct"/>
            <w:tcBorders>
              <w:top w:val="nil"/>
              <w:left w:val="single" w:sz="18" w:space="0" w:color="auto"/>
              <w:bottom w:val="single" w:sz="18" w:space="0" w:color="auto"/>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w:t>
            </w:r>
          </w:p>
        </w:tc>
        <w:tc>
          <w:tcPr>
            <w:tcW w:w="588" w:type="pct"/>
            <w:tcBorders>
              <w:top w:val="nil"/>
              <w:left w:val="nil"/>
              <w:bottom w:val="single" w:sz="18" w:space="0" w:color="auto"/>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2</w:t>
            </w:r>
          </w:p>
        </w:tc>
        <w:tc>
          <w:tcPr>
            <w:tcW w:w="587" w:type="pct"/>
            <w:tcBorders>
              <w:top w:val="nil"/>
              <w:left w:val="nil"/>
              <w:bottom w:val="single" w:sz="18" w:space="0" w:color="auto"/>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3</w:t>
            </w:r>
          </w:p>
        </w:tc>
        <w:tc>
          <w:tcPr>
            <w:tcW w:w="586" w:type="pct"/>
            <w:tcBorders>
              <w:top w:val="nil"/>
              <w:left w:val="nil"/>
              <w:bottom w:val="single" w:sz="18" w:space="0" w:color="auto"/>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4</w:t>
            </w:r>
          </w:p>
        </w:tc>
        <w:tc>
          <w:tcPr>
            <w:tcW w:w="784" w:type="pct"/>
            <w:tcBorders>
              <w:top w:val="nil"/>
              <w:left w:val="nil"/>
              <w:bottom w:val="single" w:sz="18" w:space="0" w:color="auto"/>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5</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498"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716" w:type="pct"/>
            <w:tcBorders>
              <w:top w:val="single" w:sz="18" w:space="0" w:color="auto"/>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1</w:t>
            </w:r>
          </w:p>
        </w:tc>
        <w:tc>
          <w:tcPr>
            <w:tcW w:w="588" w:type="pct"/>
            <w:tcBorders>
              <w:top w:val="single" w:sz="18" w:space="0" w:color="auto"/>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2</w:t>
            </w:r>
          </w:p>
        </w:tc>
        <w:tc>
          <w:tcPr>
            <w:tcW w:w="587" w:type="pct"/>
            <w:tcBorders>
              <w:top w:val="single" w:sz="18" w:space="0" w:color="auto"/>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3</w:t>
            </w:r>
          </w:p>
        </w:tc>
        <w:tc>
          <w:tcPr>
            <w:tcW w:w="586" w:type="pct"/>
            <w:tcBorders>
              <w:top w:val="single" w:sz="18" w:space="0" w:color="auto"/>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4</w:t>
            </w:r>
          </w:p>
        </w:tc>
        <w:tc>
          <w:tcPr>
            <w:tcW w:w="784" w:type="pct"/>
            <w:tcBorders>
              <w:top w:val="single" w:sz="18" w:space="0" w:color="auto"/>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5</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rPr>
            </w:pPr>
          </w:p>
        </w:tc>
        <w:tc>
          <w:tcPr>
            <w:tcW w:w="498"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rPr>
            </w:pPr>
            <w:r w:rsidRPr="00BB3831">
              <w:rPr>
                <w:rFonts w:ascii="Verdana" w:eastAsia="Times New Roman" w:hAnsi="Verdana" w:cs="Arial"/>
                <w:b/>
                <w:bCs/>
              </w:rPr>
              <w:t>Impact</w:t>
            </w:r>
          </w:p>
        </w:tc>
        <w:tc>
          <w:tcPr>
            <w:tcW w:w="716"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Insignificant</w:t>
            </w:r>
          </w:p>
        </w:tc>
        <w:tc>
          <w:tcPr>
            <w:tcW w:w="588"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Minor</w:t>
            </w:r>
          </w:p>
        </w:tc>
        <w:tc>
          <w:tcPr>
            <w:tcW w:w="587"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Moderate</w:t>
            </w:r>
          </w:p>
        </w:tc>
        <w:tc>
          <w:tcPr>
            <w:tcW w:w="586"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Major</w:t>
            </w:r>
          </w:p>
        </w:tc>
        <w:tc>
          <w:tcPr>
            <w:tcW w:w="784"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Catastrophic</w:t>
            </w:r>
          </w:p>
        </w:tc>
      </w:tr>
    </w:tbl>
    <w:p w:rsidR="00AF02ED" w:rsidRDefault="00AF02ED" w:rsidP="00BB3831">
      <w:pPr>
        <w:spacing w:after="0" w:line="240" w:lineRule="auto"/>
        <w:jc w:val="both"/>
        <w:rPr>
          <w:rFonts w:ascii="Verdana" w:eastAsia="Times New Roman" w:hAnsi="Verdana" w:cs="Arial"/>
          <w:sz w:val="24"/>
          <w:szCs w:val="24"/>
          <w:lang w:val="en-US"/>
        </w:rPr>
      </w:pPr>
    </w:p>
    <w:p w:rsidR="00BB3831" w:rsidRPr="00BB3831" w:rsidRDefault="00BB3831" w:rsidP="00BB3831">
      <w:pPr>
        <w:spacing w:after="0" w:line="240" w:lineRule="auto"/>
        <w:jc w:val="both"/>
        <w:rPr>
          <w:rFonts w:ascii="Verdana" w:eastAsia="Times New Roman" w:hAnsi="Verdana" w:cs="Arial"/>
          <w:sz w:val="24"/>
          <w:szCs w:val="24"/>
          <w:lang w:val="en-US"/>
        </w:rPr>
      </w:pPr>
      <w:r w:rsidRPr="00BB3831">
        <w:rPr>
          <w:rFonts w:ascii="Verdana" w:eastAsia="Times New Roman" w:hAnsi="Verdana" w:cs="Arial"/>
          <w:sz w:val="24"/>
          <w:szCs w:val="24"/>
          <w:lang w:val="en-US"/>
        </w:rPr>
        <w:t xml:space="preserve">Where the risk is </w:t>
      </w:r>
      <w:proofErr w:type="spellStart"/>
      <w:r w:rsidRPr="00BB3831">
        <w:rPr>
          <w:rFonts w:ascii="Verdana" w:eastAsia="Times New Roman" w:hAnsi="Verdana" w:cs="Arial"/>
          <w:sz w:val="24"/>
          <w:szCs w:val="24"/>
          <w:lang w:val="en-US"/>
        </w:rPr>
        <w:t>prioritised</w:t>
      </w:r>
      <w:proofErr w:type="spellEnd"/>
      <w:r w:rsidRPr="00BB3831">
        <w:rPr>
          <w:rFonts w:ascii="Verdana" w:eastAsia="Times New Roman" w:hAnsi="Verdana" w:cs="Arial"/>
          <w:sz w:val="24"/>
          <w:szCs w:val="24"/>
          <w:lang w:val="en-US"/>
        </w:rPr>
        <w:t xml:space="preserve"> on the matrix gives it a risk rating and this risk rating creates a priority for that risk.  The rating is the Red, Amber, </w:t>
      </w:r>
      <w:proofErr w:type="gramStart"/>
      <w:r w:rsidRPr="00BB3831">
        <w:rPr>
          <w:rFonts w:ascii="Verdana" w:eastAsia="Times New Roman" w:hAnsi="Verdana" w:cs="Arial"/>
          <w:sz w:val="24"/>
          <w:szCs w:val="24"/>
          <w:lang w:val="en-US"/>
        </w:rPr>
        <w:t>Green</w:t>
      </w:r>
      <w:proofErr w:type="gramEnd"/>
      <w:r w:rsidRPr="00BB3831">
        <w:rPr>
          <w:rFonts w:ascii="Verdana" w:eastAsia="Times New Roman" w:hAnsi="Verdana" w:cs="Arial"/>
          <w:sz w:val="24"/>
          <w:szCs w:val="24"/>
          <w:lang w:val="en-US"/>
        </w:rPr>
        <w:t xml:space="preserve"> (RAG) status given in the risk matrix. </w:t>
      </w:r>
    </w:p>
    <w:p w:rsidR="00BB3831" w:rsidRPr="00BB3831" w:rsidRDefault="00BB3831" w:rsidP="00BB3831">
      <w:pPr>
        <w:spacing w:after="0" w:line="240" w:lineRule="auto"/>
        <w:jc w:val="both"/>
        <w:rPr>
          <w:rFonts w:ascii="Verdana" w:eastAsia="Times New Roman" w:hAnsi="Verdana" w:cs="Arial"/>
          <w:sz w:val="24"/>
          <w:szCs w:val="24"/>
          <w:lang w:val="en-US"/>
        </w:rPr>
      </w:pPr>
    </w:p>
    <w:p w:rsidR="00BB3831" w:rsidRPr="00BB3831" w:rsidRDefault="00BB3831" w:rsidP="00BB3831">
      <w:pPr>
        <w:spacing w:after="0" w:line="240" w:lineRule="auto"/>
        <w:jc w:val="both"/>
        <w:rPr>
          <w:rFonts w:ascii="Verdana" w:eastAsia="Times New Roman" w:hAnsi="Verdana" w:cs="Arial"/>
          <w:sz w:val="24"/>
          <w:szCs w:val="24"/>
          <w:lang w:val="en-US"/>
        </w:rPr>
      </w:pPr>
      <w:r w:rsidRPr="00BB3831">
        <w:rPr>
          <w:rFonts w:ascii="Verdana" w:eastAsia="Times New Roman" w:hAnsi="Verdana" w:cs="Arial"/>
          <w:sz w:val="24"/>
          <w:szCs w:val="24"/>
          <w:lang w:val="en-US"/>
        </w:rPr>
        <w:t>For each risk area a score will be calculated for the gross, current and residual risk in accordance with the following</w:t>
      </w:r>
    </w:p>
    <w:p w:rsidR="00BB3831" w:rsidRPr="00BB3831" w:rsidRDefault="00BB3831" w:rsidP="00BB3831">
      <w:pPr>
        <w:spacing w:after="0" w:line="240" w:lineRule="auto"/>
        <w:rPr>
          <w:rFonts w:ascii="Verdana" w:eastAsia="Times New Roman" w:hAnsi="Verdana" w:cs="Arial"/>
          <w:sz w:val="24"/>
          <w:szCs w:val="24"/>
          <w:lang w:val="en-US"/>
        </w:rPr>
      </w:pPr>
    </w:p>
    <w:p w:rsidR="00BB3831" w:rsidRPr="00BB3831" w:rsidRDefault="00BB3831" w:rsidP="00BB3831">
      <w:pPr>
        <w:numPr>
          <w:ilvl w:val="0"/>
          <w:numId w:val="14"/>
        </w:numPr>
        <w:spacing w:after="0" w:line="240" w:lineRule="auto"/>
        <w:rPr>
          <w:rFonts w:ascii="Verdana" w:eastAsia="Times New Roman" w:hAnsi="Verdana" w:cs="Arial"/>
          <w:sz w:val="24"/>
          <w:szCs w:val="24"/>
          <w:lang w:val="en-US"/>
        </w:rPr>
      </w:pPr>
      <w:r w:rsidRPr="00BB3831">
        <w:rPr>
          <w:rFonts w:ascii="Verdana" w:eastAsia="Times New Roman" w:hAnsi="Verdana" w:cs="Arial"/>
          <w:b/>
          <w:sz w:val="24"/>
          <w:szCs w:val="24"/>
          <w:lang w:val="en-US"/>
        </w:rPr>
        <w:t>Gross risk</w:t>
      </w:r>
      <w:r w:rsidRPr="00BB3831">
        <w:rPr>
          <w:rFonts w:ascii="Verdana" w:eastAsia="Times New Roman" w:hAnsi="Verdana" w:cs="Arial"/>
          <w:sz w:val="24"/>
          <w:szCs w:val="24"/>
          <w:lang w:val="en-US"/>
        </w:rPr>
        <w:t xml:space="preserve"> – the risk without any controls in place</w:t>
      </w:r>
    </w:p>
    <w:p w:rsidR="00BB3831" w:rsidRPr="00BB3831" w:rsidRDefault="00BB3831" w:rsidP="00BB3831">
      <w:pPr>
        <w:numPr>
          <w:ilvl w:val="0"/>
          <w:numId w:val="14"/>
        </w:numPr>
        <w:spacing w:after="0" w:line="240" w:lineRule="auto"/>
        <w:rPr>
          <w:rFonts w:ascii="Verdana" w:eastAsia="Times New Roman" w:hAnsi="Verdana" w:cs="Arial"/>
          <w:sz w:val="24"/>
          <w:szCs w:val="24"/>
          <w:lang w:val="en-US"/>
        </w:rPr>
      </w:pPr>
      <w:r w:rsidRPr="00BB3831">
        <w:rPr>
          <w:rFonts w:ascii="Verdana" w:eastAsia="Times New Roman" w:hAnsi="Verdana" w:cs="Arial"/>
          <w:b/>
          <w:sz w:val="24"/>
          <w:szCs w:val="24"/>
          <w:lang w:val="en-US"/>
        </w:rPr>
        <w:t>Current risk</w:t>
      </w:r>
      <w:r w:rsidRPr="00BB3831">
        <w:rPr>
          <w:rFonts w:ascii="Verdana" w:eastAsia="Times New Roman" w:hAnsi="Verdana" w:cs="Arial"/>
          <w:sz w:val="24"/>
          <w:szCs w:val="24"/>
          <w:lang w:val="en-US"/>
        </w:rPr>
        <w:t xml:space="preserve"> – the risk with existing controls in place</w:t>
      </w:r>
    </w:p>
    <w:p w:rsidR="00BB3831" w:rsidRPr="00BB3831" w:rsidRDefault="00BB3831" w:rsidP="00BB3831">
      <w:pPr>
        <w:numPr>
          <w:ilvl w:val="0"/>
          <w:numId w:val="14"/>
        </w:numPr>
        <w:spacing w:after="0" w:line="240" w:lineRule="auto"/>
        <w:rPr>
          <w:rFonts w:ascii="Verdana" w:eastAsia="Times New Roman" w:hAnsi="Verdana" w:cs="Arial"/>
          <w:sz w:val="24"/>
          <w:szCs w:val="24"/>
          <w:lang w:val="en-US"/>
        </w:rPr>
      </w:pPr>
      <w:r w:rsidRPr="00BB3831">
        <w:rPr>
          <w:rFonts w:ascii="Verdana" w:eastAsia="Times New Roman" w:hAnsi="Verdana" w:cs="Arial"/>
          <w:b/>
          <w:sz w:val="24"/>
          <w:szCs w:val="24"/>
          <w:lang w:val="en-US"/>
        </w:rPr>
        <w:t>Residual Risks</w:t>
      </w:r>
      <w:r w:rsidRPr="00BB3831">
        <w:rPr>
          <w:rFonts w:ascii="Verdana" w:eastAsia="Times New Roman" w:hAnsi="Verdana" w:cs="Arial"/>
          <w:sz w:val="24"/>
          <w:szCs w:val="24"/>
          <w:lang w:val="en-US"/>
        </w:rPr>
        <w:t xml:space="preserve"> – the risk with existing controls and mitigating actions in place</w:t>
      </w:r>
    </w:p>
    <w:p w:rsidR="00BB3831" w:rsidRDefault="00BB3831" w:rsidP="00BB3831">
      <w:pPr>
        <w:spacing w:after="0" w:line="240" w:lineRule="auto"/>
        <w:ind w:left="780"/>
        <w:rPr>
          <w:rFonts w:ascii="Arial" w:eastAsia="Times New Roman" w:hAnsi="Arial" w:cs="Arial"/>
          <w:sz w:val="24"/>
          <w:szCs w:val="24"/>
          <w:lang w:val="en-US"/>
        </w:rPr>
      </w:pPr>
    </w:p>
    <w:p w:rsidR="00DE39AB" w:rsidRDefault="00DE39AB" w:rsidP="00BB3831">
      <w:pPr>
        <w:spacing w:after="0" w:line="240" w:lineRule="auto"/>
        <w:ind w:left="780"/>
        <w:rPr>
          <w:rFonts w:ascii="Arial" w:eastAsia="Times New Roman" w:hAnsi="Arial" w:cs="Arial"/>
          <w:sz w:val="24"/>
          <w:szCs w:val="24"/>
          <w:lang w:val="en-US"/>
        </w:rPr>
      </w:pPr>
    </w:p>
    <w:p w:rsidR="00DE39AB" w:rsidRDefault="00DE39AB" w:rsidP="00BB3831">
      <w:pPr>
        <w:spacing w:after="0" w:line="240" w:lineRule="auto"/>
        <w:ind w:left="780"/>
        <w:rPr>
          <w:rFonts w:ascii="Arial" w:eastAsia="Times New Roman" w:hAnsi="Arial" w:cs="Arial"/>
          <w:sz w:val="24"/>
          <w:szCs w:val="24"/>
          <w:lang w:val="en-US"/>
        </w:rPr>
      </w:pPr>
    </w:p>
    <w:p w:rsidR="00DE39AB" w:rsidRPr="00BB3831" w:rsidRDefault="00DE39AB" w:rsidP="00BB3831">
      <w:pPr>
        <w:spacing w:after="0" w:line="240" w:lineRule="auto"/>
        <w:ind w:left="780"/>
        <w:rPr>
          <w:rFonts w:ascii="Arial" w:eastAsia="Times New Roman" w:hAnsi="Arial" w:cs="Arial"/>
          <w:sz w:val="24"/>
          <w:szCs w:val="24"/>
          <w:lang w:val="en-US"/>
        </w:rPr>
      </w:pPr>
    </w:p>
    <w:p w:rsidR="00BB3831" w:rsidRPr="00BB3831" w:rsidRDefault="00BB3831" w:rsidP="00BB3831">
      <w:pPr>
        <w:spacing w:after="0" w:line="240" w:lineRule="auto"/>
        <w:rPr>
          <w:rFonts w:ascii="Arial" w:eastAsia="Times New Roman" w:hAnsi="Arial" w:cs="Arial"/>
          <w:sz w:val="24"/>
          <w:szCs w:val="24"/>
          <w:lang w:val="en-US"/>
        </w:rPr>
      </w:pPr>
    </w:p>
    <w:p w:rsidR="00BB3831" w:rsidRPr="00BB3831" w:rsidRDefault="00BB3831" w:rsidP="00BB3831">
      <w:pPr>
        <w:keepNext/>
        <w:spacing w:after="0" w:line="240" w:lineRule="auto"/>
        <w:outlineLvl w:val="3"/>
        <w:rPr>
          <w:rFonts w:ascii="Verdana" w:eastAsia="Times New Roman" w:hAnsi="Verdana" w:cs="Arial"/>
          <w:b/>
          <w:sz w:val="24"/>
          <w:szCs w:val="24"/>
          <w:lang w:val="en-US"/>
        </w:rPr>
      </w:pPr>
      <w:r w:rsidRPr="00BB3831">
        <w:rPr>
          <w:rFonts w:ascii="Verdana" w:eastAsia="Times New Roman" w:hAnsi="Verdana" w:cs="Arial"/>
          <w:b/>
          <w:sz w:val="24"/>
          <w:szCs w:val="24"/>
          <w:lang w:val="en-US"/>
        </w:rPr>
        <w:lastRenderedPageBreak/>
        <w:t>9.4</w:t>
      </w:r>
      <w:r w:rsidRPr="00BB3831">
        <w:rPr>
          <w:rFonts w:ascii="Verdana" w:eastAsia="Times New Roman" w:hAnsi="Verdana" w:cs="Arial"/>
          <w:b/>
          <w:sz w:val="24"/>
          <w:szCs w:val="24"/>
          <w:lang w:val="en-US"/>
        </w:rPr>
        <w:tab/>
        <w:t>Risk Appetite</w:t>
      </w:r>
    </w:p>
    <w:p w:rsidR="00BB3831" w:rsidRPr="00BB3831" w:rsidRDefault="00BB3831" w:rsidP="00BB3831">
      <w:pPr>
        <w:spacing w:after="0" w:line="240" w:lineRule="auto"/>
        <w:rPr>
          <w:rFonts w:ascii="Verdana" w:eastAsia="Times New Roman" w:hAnsi="Verdana" w:cs="Times New Roman"/>
          <w:sz w:val="24"/>
          <w:szCs w:val="24"/>
          <w:lang w:val="en-US"/>
        </w:rPr>
      </w:pPr>
    </w:p>
    <w:p w:rsidR="00BB3831" w:rsidRPr="00BB3831" w:rsidRDefault="00BB3831" w:rsidP="00BB3831">
      <w:pPr>
        <w:spacing w:after="0" w:line="240" w:lineRule="auto"/>
        <w:jc w:val="both"/>
        <w:rPr>
          <w:rFonts w:ascii="Verdana" w:eastAsia="Times New Roman" w:hAnsi="Verdana" w:cs="Arial"/>
          <w:sz w:val="24"/>
          <w:szCs w:val="24"/>
          <w:lang w:val="en-US"/>
        </w:rPr>
      </w:pPr>
      <w:r w:rsidRPr="00BB3831">
        <w:rPr>
          <w:rFonts w:ascii="Verdana" w:eastAsia="Times New Roman" w:hAnsi="Verdana" w:cs="Arial"/>
          <w:sz w:val="24"/>
          <w:szCs w:val="24"/>
          <w:lang w:val="en-US"/>
        </w:rPr>
        <w:t xml:space="preserve">Oxford City Council has focused on the Red, Amber, Green status of risks in determining the risk appetite of the </w:t>
      </w:r>
      <w:proofErr w:type="spellStart"/>
      <w:r w:rsidRPr="00BB3831">
        <w:rPr>
          <w:rFonts w:ascii="Verdana" w:eastAsia="Times New Roman" w:hAnsi="Verdana" w:cs="Arial"/>
          <w:sz w:val="24"/>
          <w:szCs w:val="24"/>
          <w:lang w:val="en-US"/>
        </w:rPr>
        <w:t>organisation</w:t>
      </w:r>
      <w:proofErr w:type="spellEnd"/>
      <w:r w:rsidRPr="00BB3831">
        <w:rPr>
          <w:rFonts w:ascii="Verdana" w:eastAsia="Times New Roman" w:hAnsi="Verdana" w:cs="Arial"/>
          <w:sz w:val="24"/>
          <w:szCs w:val="24"/>
          <w:lang w:val="en-US"/>
        </w:rPr>
        <w:t xml:space="preserve">. </w:t>
      </w:r>
    </w:p>
    <w:p w:rsidR="00BB3831" w:rsidRPr="00BB3831" w:rsidRDefault="00BB3831" w:rsidP="00BB3831">
      <w:pPr>
        <w:spacing w:after="0" w:line="240" w:lineRule="auto"/>
        <w:jc w:val="both"/>
        <w:rPr>
          <w:rFonts w:ascii="Verdana" w:eastAsia="Arial Unicode MS" w:hAnsi="Verdana" w:cs="Arial"/>
          <w:sz w:val="24"/>
          <w:szCs w:val="24"/>
          <w:lang w:val="en-US"/>
        </w:rPr>
      </w:pPr>
    </w:p>
    <w:p w:rsidR="00BB3831" w:rsidRPr="00BB3831" w:rsidRDefault="00BB3831" w:rsidP="00BB3831">
      <w:pPr>
        <w:spacing w:after="0" w:line="240" w:lineRule="auto"/>
        <w:jc w:val="both"/>
        <w:rPr>
          <w:rFonts w:ascii="Verdana" w:eastAsia="Times New Roman" w:hAnsi="Verdana" w:cs="Arial"/>
          <w:sz w:val="24"/>
          <w:szCs w:val="24"/>
          <w:lang w:val="en-US"/>
        </w:rPr>
      </w:pPr>
      <w:r w:rsidRPr="00BB3831">
        <w:rPr>
          <w:rFonts w:ascii="Verdana" w:eastAsia="Times New Roman" w:hAnsi="Verdana" w:cs="Arial"/>
          <w:sz w:val="24"/>
          <w:szCs w:val="24"/>
          <w:lang w:val="en-US"/>
        </w:rPr>
        <w:t xml:space="preserve">Red risks are considered unacceptable and every effort must be made to reduce the risk to the </w:t>
      </w:r>
      <w:proofErr w:type="spellStart"/>
      <w:r w:rsidRPr="00BB3831">
        <w:rPr>
          <w:rFonts w:ascii="Verdana" w:eastAsia="Times New Roman" w:hAnsi="Verdana" w:cs="Arial"/>
          <w:sz w:val="24"/>
          <w:szCs w:val="24"/>
          <w:lang w:val="en-US"/>
        </w:rPr>
        <w:t>organisation</w:t>
      </w:r>
      <w:proofErr w:type="spellEnd"/>
      <w:r w:rsidRPr="00BB3831">
        <w:rPr>
          <w:rFonts w:ascii="Verdana" w:eastAsia="Times New Roman" w:hAnsi="Verdana" w:cs="Arial"/>
          <w:sz w:val="24"/>
          <w:szCs w:val="24"/>
          <w:lang w:val="en-US"/>
        </w:rPr>
        <w:t xml:space="preserve">.  </w:t>
      </w:r>
    </w:p>
    <w:p w:rsidR="00BB3831" w:rsidRPr="00BB3831" w:rsidRDefault="00BB3831" w:rsidP="00BB3831">
      <w:pPr>
        <w:spacing w:after="0" w:line="240" w:lineRule="auto"/>
        <w:jc w:val="both"/>
        <w:rPr>
          <w:rFonts w:ascii="Verdana" w:eastAsia="Times New Roman" w:hAnsi="Verdana" w:cs="Arial"/>
          <w:sz w:val="24"/>
          <w:szCs w:val="24"/>
          <w:lang w:val="en-US"/>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In order to ensure that there is a consistent application of risk scores, the Risk Group, Director 1:1 meetings and Directorate Meetings challenge service area’s risk registers. This ensures that the risk appetite agreed at a corporate level is reflected in the analysis of risks at the service area level.</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risk appetite is reviewed periodically or when there are significant changes to the organisation. Changes to the risk appetite level would require a change to strategy and would therefore require approval of the City Executive Board</w:t>
      </w: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Verdana" w:eastAsia="Arial Unicode MS" w:hAnsi="Verdana" w:cs="Arial"/>
          <w:b/>
          <w:bCs/>
          <w:sz w:val="24"/>
          <w:szCs w:val="24"/>
        </w:rPr>
      </w:pPr>
      <w:r w:rsidRPr="00BB3831">
        <w:rPr>
          <w:rFonts w:ascii="Verdana" w:eastAsia="Times New Roman" w:hAnsi="Verdana" w:cs="Arial"/>
          <w:b/>
          <w:bCs/>
          <w:sz w:val="24"/>
          <w:szCs w:val="24"/>
        </w:rPr>
        <w:t>9.5</w:t>
      </w:r>
      <w:r w:rsidRPr="00BB3831">
        <w:rPr>
          <w:rFonts w:ascii="Verdana" w:eastAsia="Times New Roman" w:hAnsi="Verdana" w:cs="Arial"/>
          <w:b/>
          <w:bCs/>
          <w:sz w:val="20"/>
          <w:szCs w:val="14"/>
        </w:rPr>
        <w:tab/>
      </w:r>
      <w:r w:rsidRPr="00BB3831">
        <w:rPr>
          <w:rFonts w:ascii="Verdana" w:eastAsia="Times New Roman" w:hAnsi="Verdana" w:cs="Arial"/>
          <w:b/>
          <w:bCs/>
          <w:sz w:val="24"/>
          <w:szCs w:val="24"/>
        </w:rPr>
        <w:t>Management of the Risk – Mitigating Action Plans</w:t>
      </w:r>
    </w:p>
    <w:p w:rsidR="00BB3831" w:rsidRPr="00BB3831" w:rsidRDefault="00BB3831" w:rsidP="00BB3831">
      <w:pPr>
        <w:spacing w:after="0" w:line="240" w:lineRule="auto"/>
        <w:rPr>
          <w:rFonts w:ascii="Verdana" w:eastAsia="Times New Roman" w:hAnsi="Verdana" w:cs="Arial"/>
          <w:b/>
          <w:bCs/>
          <w:sz w:val="20"/>
          <w:szCs w:val="1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Risks can be managed in several ways. These can be grouped into the following categories: </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numPr>
          <w:ilvl w:val="0"/>
          <w:numId w:val="10"/>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Accept</w:t>
      </w:r>
    </w:p>
    <w:p w:rsidR="00BB3831" w:rsidRPr="00BB3831" w:rsidRDefault="00BB3831" w:rsidP="00BB3831">
      <w:pPr>
        <w:numPr>
          <w:ilvl w:val="0"/>
          <w:numId w:val="10"/>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Transfer</w:t>
      </w:r>
    </w:p>
    <w:p w:rsidR="00BB3831" w:rsidRPr="00BB3831" w:rsidRDefault="00BB3831" w:rsidP="00BB3831">
      <w:pPr>
        <w:numPr>
          <w:ilvl w:val="0"/>
          <w:numId w:val="10"/>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Reduce</w:t>
      </w:r>
    </w:p>
    <w:p w:rsidR="00BB3831" w:rsidRPr="00BB3831" w:rsidRDefault="00BB3831" w:rsidP="00BB3831">
      <w:pPr>
        <w:numPr>
          <w:ilvl w:val="0"/>
          <w:numId w:val="10"/>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Avoid</w:t>
      </w:r>
    </w:p>
    <w:p w:rsidR="00BB3831" w:rsidRPr="00BB3831" w:rsidRDefault="00BB3831" w:rsidP="00BB3831">
      <w:pPr>
        <w:numPr>
          <w:ilvl w:val="0"/>
          <w:numId w:val="10"/>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Contingency</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However, risks are generally managed by reducing the impact and/or probability.  In developing a plan for managing the risk, consideration should be given to the benefit of the strategy adopted for managing the risks against the cost of managing the risk.</w:t>
      </w:r>
    </w:p>
    <w:p w:rsidR="00BB3831" w:rsidRPr="00BB3831" w:rsidRDefault="00BB3831" w:rsidP="00BB3831">
      <w:pPr>
        <w:spacing w:after="0" w:line="240" w:lineRule="auto"/>
        <w:rPr>
          <w:rFonts w:ascii="Arial" w:eastAsia="Times New Roman" w:hAnsi="Arial" w:cs="Arial"/>
          <w:sz w:val="24"/>
          <w:szCs w:val="24"/>
        </w:rPr>
      </w:pPr>
    </w:p>
    <w:p w:rsidR="00BB3831" w:rsidRPr="00BB3831" w:rsidRDefault="00BB3831" w:rsidP="00BB3831">
      <w:pPr>
        <w:numPr>
          <w:ilvl w:val="1"/>
          <w:numId w:val="13"/>
        </w:numPr>
        <w:spacing w:after="0" w:line="240" w:lineRule="auto"/>
        <w:rPr>
          <w:rFonts w:ascii="Verdana" w:eastAsia="Times New Roman" w:hAnsi="Verdana" w:cs="Arial"/>
          <w:b/>
          <w:bCs/>
          <w:sz w:val="24"/>
          <w:szCs w:val="24"/>
        </w:rPr>
      </w:pPr>
      <w:r w:rsidRPr="00BB3831">
        <w:rPr>
          <w:rFonts w:ascii="Verdana" w:eastAsia="Times New Roman" w:hAnsi="Verdana" w:cs="Arial"/>
          <w:b/>
          <w:sz w:val="24"/>
          <w:szCs w:val="24"/>
        </w:rPr>
        <w:t xml:space="preserve">      </w:t>
      </w:r>
      <w:r w:rsidRPr="00BB3831">
        <w:rPr>
          <w:rFonts w:ascii="Verdana" w:eastAsia="Times New Roman" w:hAnsi="Verdana" w:cs="Arial"/>
          <w:b/>
          <w:bCs/>
          <w:sz w:val="24"/>
          <w:szCs w:val="24"/>
        </w:rPr>
        <w:t>Monitoring</w:t>
      </w:r>
    </w:p>
    <w:p w:rsidR="00BB3831" w:rsidRPr="00BB3831" w:rsidRDefault="00BB3831" w:rsidP="00BB3831">
      <w:pPr>
        <w:spacing w:after="0" w:line="240" w:lineRule="auto"/>
        <w:jc w:val="both"/>
        <w:rPr>
          <w:rFonts w:ascii="Verdana" w:eastAsia="Times New Roman" w:hAnsi="Verdana" w:cs="Arial"/>
          <w:b/>
          <w:bCs/>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The Council makes use of </w:t>
      </w:r>
      <w:proofErr w:type="spellStart"/>
      <w:r w:rsidRPr="00BB3831">
        <w:rPr>
          <w:rFonts w:ascii="Verdana" w:eastAsia="Times New Roman" w:hAnsi="Verdana" w:cs="Arial"/>
          <w:sz w:val="24"/>
          <w:szCs w:val="24"/>
        </w:rPr>
        <w:t>CorVu</w:t>
      </w:r>
      <w:proofErr w:type="spellEnd"/>
      <w:r w:rsidRPr="00BB3831">
        <w:rPr>
          <w:rFonts w:ascii="Verdana" w:eastAsia="Times New Roman" w:hAnsi="Verdana" w:cs="Arial"/>
          <w:sz w:val="24"/>
          <w:szCs w:val="24"/>
        </w:rPr>
        <w:t xml:space="preserve">, its performance management system to record information on all risks including the scoring and progress on mitigating actions against key milestones to be undertaken by clear risk owners.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The monitoring process tracks the progress of the action plans. </w:t>
      </w:r>
    </w:p>
    <w:p w:rsidR="00BB3831" w:rsidRPr="00BB3831" w:rsidRDefault="00BB3831" w:rsidP="00BB3831">
      <w:pPr>
        <w:spacing w:after="0" w:line="240" w:lineRule="auto"/>
        <w:jc w:val="both"/>
        <w:rPr>
          <w:rFonts w:ascii="Verdana" w:eastAsia="Arial Unicode MS" w:hAnsi="Verdana" w:cs="Arial"/>
          <w:b/>
          <w:bCs/>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Risk management is not a one off exercise. Risks change over time. Monitoring is to consider if there is anything that has happened which alters or changes the risks, causes, risk scores or actions identified. It also ensures that action plans remain relevant, up-to-date and effective. </w:t>
      </w:r>
    </w:p>
    <w:p w:rsidR="00BB3831" w:rsidRPr="00BB3831" w:rsidRDefault="00BB3831" w:rsidP="00BB3831">
      <w:pPr>
        <w:numPr>
          <w:ilvl w:val="1"/>
          <w:numId w:val="13"/>
        </w:num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lastRenderedPageBreak/>
        <w:t xml:space="preserve">        Risk Reporting</w:t>
      </w:r>
    </w:p>
    <w:p w:rsidR="00BB3831" w:rsidRPr="00BB3831" w:rsidRDefault="00BB3831" w:rsidP="00BB3831">
      <w:pPr>
        <w:spacing w:after="0" w:line="240" w:lineRule="auto"/>
        <w:rPr>
          <w:rFonts w:ascii="Verdana" w:eastAsia="Times New Roman" w:hAnsi="Verdana" w:cs="Arial"/>
          <w:b/>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Risk reports are prepared on a </w:t>
      </w:r>
      <w:r w:rsidR="002B0D4D">
        <w:rPr>
          <w:rFonts w:ascii="Verdana" w:eastAsia="Times New Roman" w:hAnsi="Verdana" w:cs="Arial"/>
          <w:sz w:val="24"/>
          <w:szCs w:val="24"/>
        </w:rPr>
        <w:t>quarterly</w:t>
      </w:r>
      <w:r w:rsidRPr="00BB3831">
        <w:rPr>
          <w:rFonts w:ascii="Verdana" w:eastAsia="Times New Roman" w:hAnsi="Verdana" w:cs="Arial"/>
          <w:sz w:val="24"/>
          <w:szCs w:val="24"/>
        </w:rPr>
        <w:t xml:space="preserve"> basis to City Executive Board, Audit and Governance Committee and Corporate Management Team in accordance with the following:</w:t>
      </w:r>
    </w:p>
    <w:p w:rsidR="00BB3831" w:rsidRPr="00BB3831" w:rsidRDefault="00BB3831" w:rsidP="00BB3831">
      <w:pPr>
        <w:spacing w:after="0" w:line="240" w:lineRule="auto"/>
        <w:rPr>
          <w:rFonts w:ascii="Verdana" w:eastAsia="Times New Roman" w:hAnsi="Verdana" w:cs="Arial"/>
          <w:b/>
          <w:sz w:val="24"/>
          <w:szCs w:val="24"/>
        </w:rPr>
      </w:pPr>
    </w:p>
    <w:p w:rsidR="00BB3831" w:rsidRPr="00BB3831" w:rsidRDefault="00BB3831" w:rsidP="00BB3831">
      <w:pPr>
        <w:spacing w:after="0" w:line="240" w:lineRule="auto"/>
        <w:rPr>
          <w:rFonts w:ascii="Verdana" w:eastAsia="Times New Roman" w:hAnsi="Verdana" w:cs="Arial"/>
          <w:sz w:val="20"/>
          <w:szCs w:val="14"/>
        </w:rPr>
      </w:pPr>
    </w:p>
    <w:tbl>
      <w:tblPr>
        <w:tblW w:w="8113" w:type="dxa"/>
        <w:tblCellMar>
          <w:left w:w="0" w:type="dxa"/>
          <w:right w:w="0" w:type="dxa"/>
        </w:tblCellMar>
        <w:tblLook w:val="0000" w:firstRow="0" w:lastRow="0" w:firstColumn="0" w:lastColumn="0" w:noHBand="0" w:noVBand="0"/>
      </w:tblPr>
      <w:tblGrid>
        <w:gridCol w:w="3975"/>
        <w:gridCol w:w="2518"/>
        <w:gridCol w:w="1620"/>
      </w:tblGrid>
      <w:tr w:rsidR="00BB3831" w:rsidRPr="00AF02ED" w:rsidTr="00181944">
        <w:trPr>
          <w:trHeight w:val="270"/>
        </w:trPr>
        <w:tc>
          <w:tcPr>
            <w:tcW w:w="3975" w:type="dxa"/>
            <w:tcBorders>
              <w:top w:val="nil"/>
              <w:left w:val="nil"/>
              <w:bottom w:val="nil"/>
              <w:right w:val="nil"/>
            </w:tcBorders>
            <w:tcMar>
              <w:top w:w="13" w:type="dxa"/>
              <w:left w:w="13" w:type="dxa"/>
              <w:bottom w:w="0" w:type="dxa"/>
              <w:right w:w="13" w:type="dxa"/>
            </w:tcMar>
            <w:vAlign w:val="bottom"/>
          </w:tcPr>
          <w:p w:rsidR="00BB3831" w:rsidRPr="00AF02ED" w:rsidRDefault="00BB3831" w:rsidP="00BB3831">
            <w:pPr>
              <w:spacing w:after="0" w:line="240" w:lineRule="auto"/>
              <w:rPr>
                <w:rFonts w:ascii="Verdana" w:eastAsia="Arial Unicode MS" w:hAnsi="Verdana" w:cs="Arial"/>
              </w:rPr>
            </w:pPr>
          </w:p>
        </w:tc>
        <w:tc>
          <w:tcPr>
            <w:tcW w:w="2518" w:type="dxa"/>
            <w:tcBorders>
              <w:top w:val="single" w:sz="4" w:space="0" w:color="auto"/>
              <w:left w:val="single" w:sz="8" w:space="0" w:color="auto"/>
              <w:bottom w:val="single" w:sz="8" w:space="0" w:color="auto"/>
              <w:right w:val="single" w:sz="4" w:space="0" w:color="auto"/>
            </w:tcBorders>
            <w:shd w:val="clear" w:color="auto" w:fill="C0C0C0"/>
            <w:tcMar>
              <w:top w:w="13" w:type="dxa"/>
              <w:left w:w="13" w:type="dxa"/>
              <w:bottom w:w="0" w:type="dxa"/>
              <w:right w:w="13" w:type="dxa"/>
            </w:tcMar>
            <w:vAlign w:val="bottom"/>
          </w:tcPr>
          <w:p w:rsidR="00BB3831" w:rsidRPr="00AF02ED" w:rsidRDefault="00BB3831" w:rsidP="00BB3831">
            <w:pPr>
              <w:spacing w:after="0" w:line="240" w:lineRule="auto"/>
              <w:jc w:val="center"/>
              <w:rPr>
                <w:rFonts w:ascii="Verdana" w:eastAsia="Times New Roman" w:hAnsi="Verdana" w:cs="Arial"/>
                <w:b/>
                <w:bCs/>
              </w:rPr>
            </w:pPr>
          </w:p>
          <w:p w:rsidR="00BB3831" w:rsidRPr="00AF02ED" w:rsidRDefault="00BB3831" w:rsidP="00BB3831">
            <w:pPr>
              <w:spacing w:after="0" w:line="240" w:lineRule="auto"/>
              <w:jc w:val="center"/>
              <w:rPr>
                <w:rFonts w:ascii="Verdana" w:eastAsia="Times New Roman" w:hAnsi="Verdana" w:cs="Arial"/>
                <w:b/>
                <w:bCs/>
              </w:rPr>
            </w:pPr>
            <w:r w:rsidRPr="00AF02ED">
              <w:rPr>
                <w:rFonts w:ascii="Verdana" w:eastAsia="Times New Roman" w:hAnsi="Verdana" w:cs="Arial"/>
                <w:b/>
                <w:bCs/>
              </w:rPr>
              <w:t xml:space="preserve">Board/Committee </w:t>
            </w:r>
          </w:p>
          <w:p w:rsidR="00BB3831" w:rsidRPr="00AF02ED" w:rsidRDefault="00BB3831" w:rsidP="00BB3831">
            <w:pPr>
              <w:spacing w:after="0" w:line="240" w:lineRule="auto"/>
              <w:jc w:val="center"/>
              <w:rPr>
                <w:rFonts w:ascii="Verdana" w:eastAsia="Arial Unicode MS" w:hAnsi="Verdana" w:cs="Arial"/>
                <w:b/>
                <w:bCs/>
              </w:rPr>
            </w:pPr>
          </w:p>
        </w:tc>
        <w:tc>
          <w:tcPr>
            <w:tcW w:w="1620" w:type="dxa"/>
            <w:tcBorders>
              <w:top w:val="single" w:sz="4" w:space="0" w:color="auto"/>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BB3831" w:rsidRPr="00AF02ED" w:rsidRDefault="00BB3831" w:rsidP="00BB3831">
            <w:pPr>
              <w:spacing w:after="0" w:line="240" w:lineRule="auto"/>
              <w:jc w:val="center"/>
              <w:rPr>
                <w:rFonts w:ascii="Verdana" w:eastAsia="Arial Unicode MS" w:hAnsi="Verdana" w:cs="Arial"/>
                <w:b/>
                <w:bCs/>
              </w:rPr>
            </w:pPr>
            <w:r w:rsidRPr="00AF02ED">
              <w:rPr>
                <w:rFonts w:ascii="Verdana" w:eastAsia="Times New Roman" w:hAnsi="Verdana" w:cs="Arial"/>
                <w:b/>
                <w:bCs/>
              </w:rPr>
              <w:t>Frequency</w:t>
            </w:r>
          </w:p>
        </w:tc>
      </w:tr>
      <w:tr w:rsidR="00BB3831" w:rsidRPr="00AF02ED" w:rsidTr="00181944">
        <w:trPr>
          <w:trHeight w:val="437"/>
        </w:trPr>
        <w:tc>
          <w:tcPr>
            <w:tcW w:w="3975" w:type="dxa"/>
            <w:tcBorders>
              <w:top w:val="single" w:sz="4" w:space="0" w:color="auto"/>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BB3831" w:rsidRPr="00AF02ED" w:rsidRDefault="00BB3831" w:rsidP="00BB3831">
            <w:pPr>
              <w:spacing w:after="0" w:line="240" w:lineRule="auto"/>
              <w:rPr>
                <w:rFonts w:ascii="Verdana" w:eastAsia="Arial Unicode MS" w:hAnsi="Verdana" w:cs="Arial"/>
                <w:b/>
                <w:bCs/>
              </w:rPr>
            </w:pPr>
            <w:r w:rsidRPr="00AF02ED">
              <w:rPr>
                <w:rFonts w:ascii="Verdana" w:eastAsia="Times New Roman" w:hAnsi="Verdana" w:cs="Arial"/>
                <w:b/>
                <w:bCs/>
              </w:rPr>
              <w:t>Corporate Risk Register (CRR) Report</w:t>
            </w:r>
          </w:p>
        </w:tc>
        <w:tc>
          <w:tcPr>
            <w:tcW w:w="2518" w:type="dxa"/>
            <w:tcBorders>
              <w:top w:val="nil"/>
              <w:left w:val="nil"/>
              <w:bottom w:val="single" w:sz="4" w:space="0" w:color="auto"/>
              <w:right w:val="single" w:sz="4" w:space="0" w:color="auto"/>
            </w:tcBorders>
            <w:tcMar>
              <w:top w:w="13" w:type="dxa"/>
              <w:left w:w="13" w:type="dxa"/>
              <w:bottom w:w="0" w:type="dxa"/>
              <w:right w:w="13" w:type="dxa"/>
            </w:tcMar>
            <w:vAlign w:val="bottom"/>
          </w:tcPr>
          <w:p w:rsidR="00BB3831" w:rsidRPr="00AF02ED" w:rsidRDefault="00BB3831" w:rsidP="00BB3831">
            <w:pPr>
              <w:spacing w:after="0" w:line="240" w:lineRule="auto"/>
              <w:rPr>
                <w:rFonts w:ascii="Verdana" w:eastAsia="Arial Unicode MS" w:hAnsi="Verdana" w:cs="Arial"/>
              </w:rPr>
            </w:pPr>
            <w:r w:rsidRPr="00AF02ED">
              <w:rPr>
                <w:rFonts w:ascii="Verdana" w:eastAsia="Times New Roman" w:hAnsi="Verdana" w:cs="Arial"/>
              </w:rPr>
              <w:t>Corporate Management Team, and City Exec Board</w:t>
            </w:r>
          </w:p>
        </w:tc>
        <w:tc>
          <w:tcPr>
            <w:tcW w:w="1620" w:type="dxa"/>
            <w:tcBorders>
              <w:top w:val="nil"/>
              <w:left w:val="nil"/>
              <w:bottom w:val="single" w:sz="4" w:space="0" w:color="auto"/>
              <w:right w:val="single" w:sz="8" w:space="0" w:color="auto"/>
            </w:tcBorders>
            <w:tcMar>
              <w:top w:w="13" w:type="dxa"/>
              <w:left w:w="13" w:type="dxa"/>
              <w:bottom w:w="0" w:type="dxa"/>
              <w:right w:w="13" w:type="dxa"/>
            </w:tcMar>
          </w:tcPr>
          <w:p w:rsidR="00BB3831" w:rsidRPr="00AF02ED" w:rsidRDefault="00BB3831" w:rsidP="00BB3831">
            <w:pPr>
              <w:spacing w:after="0" w:line="240" w:lineRule="auto"/>
              <w:rPr>
                <w:rFonts w:ascii="Verdana" w:eastAsia="Arial Unicode MS" w:hAnsi="Verdana" w:cs="Arial"/>
              </w:rPr>
            </w:pPr>
            <w:r w:rsidRPr="00AF02ED">
              <w:rPr>
                <w:rFonts w:ascii="Verdana" w:eastAsia="Times New Roman" w:hAnsi="Verdana" w:cs="Arial"/>
              </w:rPr>
              <w:t>Quarterly</w:t>
            </w:r>
          </w:p>
        </w:tc>
      </w:tr>
      <w:tr w:rsidR="00BB3831" w:rsidRPr="00AF02ED" w:rsidTr="00181944">
        <w:trPr>
          <w:trHeight w:val="255"/>
        </w:trPr>
        <w:tc>
          <w:tcPr>
            <w:tcW w:w="3975" w:type="dxa"/>
            <w:tcBorders>
              <w:top w:val="single" w:sz="4"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tcPr>
          <w:p w:rsidR="00BB3831" w:rsidRPr="00AF02ED" w:rsidRDefault="00BB3831" w:rsidP="00BB3831">
            <w:pPr>
              <w:spacing w:after="0" w:line="240" w:lineRule="auto"/>
              <w:rPr>
                <w:rFonts w:ascii="Verdana" w:eastAsia="Arial Unicode MS" w:hAnsi="Verdana" w:cs="Arial"/>
                <w:b/>
                <w:bCs/>
              </w:rPr>
            </w:pPr>
            <w:r w:rsidRPr="00AF02ED">
              <w:rPr>
                <w:rFonts w:ascii="Verdana" w:eastAsia="Times New Roman" w:hAnsi="Verdana" w:cs="Arial"/>
                <w:b/>
                <w:bCs/>
              </w:rPr>
              <w:t>Service Risk Register (SRR) Report</w:t>
            </w:r>
          </w:p>
        </w:tc>
        <w:tc>
          <w:tcPr>
            <w:tcW w:w="2518" w:type="dxa"/>
            <w:tcBorders>
              <w:top w:val="single" w:sz="4" w:space="0" w:color="auto"/>
              <w:left w:val="nil"/>
              <w:bottom w:val="single" w:sz="8" w:space="0" w:color="auto"/>
              <w:right w:val="single" w:sz="4" w:space="0" w:color="auto"/>
            </w:tcBorders>
            <w:tcMar>
              <w:top w:w="13" w:type="dxa"/>
              <w:left w:w="13" w:type="dxa"/>
              <w:bottom w:w="0" w:type="dxa"/>
              <w:right w:w="13" w:type="dxa"/>
            </w:tcMar>
            <w:vAlign w:val="bottom"/>
          </w:tcPr>
          <w:p w:rsidR="00BB3831" w:rsidRPr="00AF02ED" w:rsidRDefault="00BB3831" w:rsidP="00BB3831">
            <w:pPr>
              <w:spacing w:after="0" w:line="240" w:lineRule="auto"/>
              <w:rPr>
                <w:rFonts w:ascii="Verdana" w:eastAsia="Arial Unicode MS" w:hAnsi="Verdana" w:cs="Arial"/>
              </w:rPr>
            </w:pPr>
            <w:r w:rsidRPr="00AF02ED">
              <w:rPr>
                <w:rFonts w:ascii="Verdana" w:eastAsia="Times New Roman" w:hAnsi="Verdana" w:cs="Arial"/>
              </w:rPr>
              <w:t xml:space="preserve">Corporate Management Team, </w:t>
            </w:r>
          </w:p>
        </w:tc>
        <w:tc>
          <w:tcPr>
            <w:tcW w:w="1620" w:type="dxa"/>
            <w:tcBorders>
              <w:top w:val="single" w:sz="4" w:space="0" w:color="auto"/>
              <w:left w:val="nil"/>
              <w:bottom w:val="single" w:sz="8" w:space="0" w:color="auto"/>
              <w:right w:val="single" w:sz="8" w:space="0" w:color="auto"/>
            </w:tcBorders>
            <w:tcMar>
              <w:top w:w="13" w:type="dxa"/>
              <w:left w:w="13" w:type="dxa"/>
              <w:bottom w:w="0" w:type="dxa"/>
              <w:right w:w="13" w:type="dxa"/>
            </w:tcMar>
          </w:tcPr>
          <w:p w:rsidR="00BB3831" w:rsidRPr="00AF02ED" w:rsidRDefault="00BB3831" w:rsidP="00BB3831">
            <w:pPr>
              <w:spacing w:after="0" w:line="240" w:lineRule="auto"/>
              <w:rPr>
                <w:rFonts w:ascii="Verdana" w:eastAsia="Arial Unicode MS" w:hAnsi="Verdana" w:cs="Arial"/>
              </w:rPr>
            </w:pPr>
            <w:r w:rsidRPr="00AF02ED">
              <w:rPr>
                <w:rFonts w:ascii="Verdana" w:eastAsia="Times New Roman" w:hAnsi="Verdana" w:cs="Arial"/>
              </w:rPr>
              <w:t>Quarterly</w:t>
            </w:r>
          </w:p>
        </w:tc>
      </w:tr>
      <w:tr w:rsidR="00BB3831" w:rsidRPr="00AF02ED" w:rsidTr="00181944">
        <w:trPr>
          <w:trHeight w:val="722"/>
        </w:trPr>
        <w:tc>
          <w:tcPr>
            <w:tcW w:w="3975" w:type="dxa"/>
            <w:tcBorders>
              <w:top w:val="single" w:sz="8"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tcPr>
          <w:p w:rsidR="00BB3831" w:rsidRPr="00AF02ED" w:rsidRDefault="00BB3831" w:rsidP="00BB3831">
            <w:pPr>
              <w:spacing w:after="0" w:line="240" w:lineRule="auto"/>
              <w:rPr>
                <w:rFonts w:ascii="Verdana" w:eastAsia="Times New Roman" w:hAnsi="Verdana" w:cs="Arial"/>
                <w:b/>
                <w:bCs/>
              </w:rPr>
            </w:pPr>
            <w:r w:rsidRPr="00AF02ED">
              <w:rPr>
                <w:rFonts w:ascii="Verdana" w:eastAsia="Times New Roman" w:hAnsi="Verdana" w:cs="Arial"/>
                <w:b/>
                <w:bCs/>
              </w:rPr>
              <w:t>Confirmation of completed reporting and summary risk profile</w:t>
            </w:r>
          </w:p>
        </w:tc>
        <w:tc>
          <w:tcPr>
            <w:tcW w:w="2518" w:type="dxa"/>
            <w:tcBorders>
              <w:top w:val="single" w:sz="8" w:space="0" w:color="auto"/>
              <w:left w:val="nil"/>
              <w:bottom w:val="single" w:sz="8" w:space="0" w:color="auto"/>
              <w:right w:val="single" w:sz="4" w:space="0" w:color="auto"/>
            </w:tcBorders>
            <w:tcMar>
              <w:top w:w="13" w:type="dxa"/>
              <w:left w:w="13" w:type="dxa"/>
              <w:bottom w:w="0" w:type="dxa"/>
              <w:right w:w="13" w:type="dxa"/>
            </w:tcMar>
          </w:tcPr>
          <w:p w:rsidR="00BB3831" w:rsidRPr="00AF02ED" w:rsidRDefault="00BB3831" w:rsidP="00BB3831">
            <w:pPr>
              <w:spacing w:after="0" w:line="240" w:lineRule="auto"/>
              <w:rPr>
                <w:rFonts w:ascii="Verdana" w:eastAsia="Times New Roman" w:hAnsi="Verdana" w:cs="Arial"/>
              </w:rPr>
            </w:pPr>
            <w:r w:rsidRPr="00AF02ED">
              <w:rPr>
                <w:rFonts w:ascii="Verdana" w:eastAsia="Times New Roman" w:hAnsi="Verdana" w:cs="Arial"/>
              </w:rPr>
              <w:t xml:space="preserve">Audit &amp; Governance Committee </w:t>
            </w:r>
          </w:p>
        </w:tc>
        <w:tc>
          <w:tcPr>
            <w:tcW w:w="1620" w:type="dxa"/>
            <w:tcBorders>
              <w:top w:val="single" w:sz="8" w:space="0" w:color="auto"/>
              <w:left w:val="nil"/>
              <w:bottom w:val="single" w:sz="8" w:space="0" w:color="auto"/>
              <w:right w:val="single" w:sz="8" w:space="0" w:color="auto"/>
            </w:tcBorders>
            <w:tcMar>
              <w:top w:w="13" w:type="dxa"/>
              <w:left w:w="13" w:type="dxa"/>
              <w:bottom w:w="0" w:type="dxa"/>
              <w:right w:w="13" w:type="dxa"/>
            </w:tcMar>
          </w:tcPr>
          <w:p w:rsidR="00BB3831" w:rsidRPr="00AF02ED" w:rsidRDefault="00BB3831" w:rsidP="00BB3831">
            <w:pPr>
              <w:spacing w:after="0" w:line="240" w:lineRule="auto"/>
              <w:rPr>
                <w:rFonts w:ascii="Verdana" w:eastAsia="Times New Roman" w:hAnsi="Verdana" w:cs="Arial"/>
              </w:rPr>
            </w:pPr>
            <w:r w:rsidRPr="00AF02ED">
              <w:rPr>
                <w:rFonts w:ascii="Verdana" w:eastAsia="Times New Roman" w:hAnsi="Verdana" w:cs="Arial"/>
              </w:rPr>
              <w:t>Quarterly</w:t>
            </w:r>
          </w:p>
        </w:tc>
      </w:tr>
    </w:tbl>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10.</w:t>
      </w:r>
      <w:r w:rsidRPr="00BB3831">
        <w:rPr>
          <w:rFonts w:ascii="Verdana" w:eastAsia="Times New Roman" w:hAnsi="Verdana" w:cs="Arial"/>
          <w:b/>
          <w:sz w:val="24"/>
          <w:szCs w:val="24"/>
        </w:rPr>
        <w:tab/>
        <w:t>Escalation and flow of Risks</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In line with the risk appetite all red risks are seen as unacceptable and must be reduced.  Any red risk must be referred to the Risk Officer. In the cases of projects (including procurement projects) the Programme Manager must be made aware of all red risks.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Risks can flow between risk registers for instance a Corporate Risk may be transferred to a Service Risk once the risk can be managed by one area.   The Risk Operating Framework sets out how risks flow between registers. </w:t>
      </w:r>
    </w:p>
    <w:p w:rsidR="00BB3831" w:rsidRPr="00BB3831" w:rsidRDefault="00BB3831" w:rsidP="00BB3831">
      <w:pPr>
        <w:spacing w:after="0" w:line="240" w:lineRule="auto"/>
        <w:jc w:val="both"/>
        <w:rPr>
          <w:rFonts w:ascii="Verdana" w:eastAsia="Times New Roman" w:hAnsi="Verdana" w:cs="Arial"/>
          <w:sz w:val="20"/>
        </w:rPr>
      </w:pPr>
    </w:p>
    <w:p w:rsidR="00BB3831" w:rsidRPr="00BB3831" w:rsidRDefault="00BB3831" w:rsidP="00BB3831">
      <w:pPr>
        <w:keepNext/>
        <w:spacing w:after="0" w:line="240" w:lineRule="auto"/>
        <w:jc w:val="both"/>
        <w:outlineLvl w:val="0"/>
        <w:rPr>
          <w:rFonts w:ascii="Verdana" w:eastAsia="Times New Roman" w:hAnsi="Verdana" w:cs="Arial"/>
          <w:b/>
          <w:bCs/>
          <w:sz w:val="24"/>
          <w:szCs w:val="24"/>
        </w:rPr>
      </w:pPr>
      <w:r w:rsidRPr="00BB3831">
        <w:rPr>
          <w:rFonts w:ascii="Verdana" w:eastAsia="Times New Roman" w:hAnsi="Verdana" w:cs="Arial"/>
          <w:b/>
          <w:bCs/>
          <w:sz w:val="24"/>
          <w:szCs w:val="24"/>
        </w:rPr>
        <w:t xml:space="preserve">11. </w:t>
      </w:r>
      <w:r w:rsidRPr="00BB3831">
        <w:rPr>
          <w:rFonts w:ascii="Verdana" w:eastAsia="Times New Roman" w:hAnsi="Verdana" w:cs="Arial"/>
          <w:b/>
          <w:bCs/>
          <w:sz w:val="24"/>
          <w:szCs w:val="24"/>
        </w:rPr>
        <w:tab/>
        <w:t>Consistency &amp; Challenge</w:t>
      </w:r>
    </w:p>
    <w:p w:rsidR="00BB3831" w:rsidRPr="00BB3831" w:rsidRDefault="00BB3831" w:rsidP="00BB3831">
      <w:pPr>
        <w:spacing w:after="0" w:line="240" w:lineRule="auto"/>
        <w:jc w:val="both"/>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Corporate Management Team will focus their attention on corporate risks on a quarterly basis although this review will also incorporate service risks especially ‘red’ service risks which will be highlighted for potential inclusion in the Corporate Risk Register. CMT will challenge the scoring of the risks in terms of probability of occurrence and impact and ensure that there is consistency of approach and to risk appetite across the organisation.  </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Additionally each Directorate will consider the risks across the directorate as part of the Directorate meetings.  Red risks will be reviewed and there will be challenge of the scoring and action plans. </w:t>
      </w:r>
    </w:p>
    <w:p w:rsidR="00BB3831" w:rsidRPr="00BB3831" w:rsidRDefault="00BB3831" w:rsidP="00BB3831">
      <w:pPr>
        <w:spacing w:after="0" w:line="240" w:lineRule="auto"/>
        <w:jc w:val="both"/>
        <w:rPr>
          <w:rFonts w:ascii="Arial" w:eastAsia="Times New Roman" w:hAnsi="Arial" w:cs="Arial"/>
          <w:sz w:val="24"/>
          <w:szCs w:val="24"/>
        </w:rPr>
      </w:pPr>
    </w:p>
    <w:p w:rsidR="00BB3831" w:rsidRPr="00AF02ED" w:rsidRDefault="00BB3831" w:rsidP="00BB3831">
      <w:pPr>
        <w:spacing w:after="0" w:line="240" w:lineRule="auto"/>
        <w:jc w:val="both"/>
        <w:rPr>
          <w:rFonts w:ascii="Verdana" w:eastAsia="Times New Roman" w:hAnsi="Verdana" w:cs="Arial"/>
          <w:sz w:val="24"/>
          <w:szCs w:val="24"/>
        </w:rPr>
      </w:pPr>
      <w:r w:rsidRPr="00AF02ED">
        <w:rPr>
          <w:rFonts w:ascii="Verdana" w:eastAsia="Times New Roman" w:hAnsi="Verdana" w:cs="Arial"/>
          <w:sz w:val="24"/>
          <w:szCs w:val="24"/>
        </w:rPr>
        <w:t>Director’s 1:1 meetings with service heads will review and challenge the Service Risk</w:t>
      </w:r>
      <w:r w:rsidRPr="00BB3831">
        <w:rPr>
          <w:rFonts w:ascii="Arial" w:eastAsia="Times New Roman" w:hAnsi="Arial" w:cs="Arial"/>
          <w:sz w:val="24"/>
          <w:szCs w:val="24"/>
        </w:rPr>
        <w:t xml:space="preserve"> </w:t>
      </w:r>
      <w:r w:rsidRPr="00AF02ED">
        <w:rPr>
          <w:rFonts w:ascii="Verdana" w:eastAsia="Times New Roman" w:hAnsi="Verdana" w:cs="Arial"/>
          <w:sz w:val="24"/>
          <w:szCs w:val="24"/>
        </w:rPr>
        <w:t>Register.</w:t>
      </w:r>
    </w:p>
    <w:p w:rsidR="00BB3831" w:rsidRPr="00BB3831" w:rsidRDefault="00BB3831" w:rsidP="00BB3831">
      <w:pPr>
        <w:spacing w:after="0" w:line="240" w:lineRule="auto"/>
        <w:jc w:val="both"/>
        <w:rPr>
          <w:rFonts w:ascii="Arial" w:eastAsia="Times New Roman" w:hAnsi="Arial"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lastRenderedPageBreak/>
        <w:t xml:space="preserve">The Risk Management Group will provide advice on risk management and periodically sample check service risk registers to ensure the degree of </w:t>
      </w:r>
      <w:proofErr w:type="spellStart"/>
      <w:r w:rsidRPr="00BB3831">
        <w:rPr>
          <w:rFonts w:ascii="Verdana" w:eastAsia="Times New Roman" w:hAnsi="Verdana" w:cs="Arial"/>
          <w:sz w:val="24"/>
          <w:szCs w:val="24"/>
        </w:rPr>
        <w:t>embededness</w:t>
      </w:r>
      <w:proofErr w:type="spellEnd"/>
      <w:r w:rsidRPr="00BB3831">
        <w:rPr>
          <w:rFonts w:ascii="Verdana" w:eastAsia="Times New Roman" w:hAnsi="Verdana" w:cs="Arial"/>
          <w:sz w:val="24"/>
          <w:szCs w:val="24"/>
        </w:rPr>
        <w:t xml:space="preserve"> within the service.</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12</w:t>
      </w:r>
      <w:r w:rsidRPr="00BB3831">
        <w:rPr>
          <w:rFonts w:ascii="Verdana" w:eastAsia="Times New Roman" w:hAnsi="Verdana" w:cs="Arial"/>
          <w:b/>
          <w:sz w:val="24"/>
          <w:szCs w:val="24"/>
        </w:rPr>
        <w:tab/>
        <w:t xml:space="preserve">Benchmarking of Risk Practices </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risk practices of the Council are benchmarked against industry practice (established by considering other local authorities, industry reviews and guidance against the organisational context of the Council).</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Recommendations are incorporated into the periodic review of the Strategy. </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13.</w:t>
      </w:r>
      <w:r w:rsidRPr="00BB3831">
        <w:rPr>
          <w:rFonts w:ascii="Verdana" w:eastAsia="Times New Roman" w:hAnsi="Verdana" w:cs="Arial"/>
          <w:b/>
          <w:sz w:val="24"/>
          <w:szCs w:val="24"/>
        </w:rPr>
        <w:tab/>
        <w:t>City Executive Board Reports</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City Executive Board (CEB) Report</w:t>
      </w:r>
      <w:r w:rsidR="00EB71BF">
        <w:rPr>
          <w:rFonts w:ascii="Verdana" w:eastAsia="Times New Roman" w:hAnsi="Verdana" w:cs="Arial"/>
          <w:sz w:val="24"/>
          <w:szCs w:val="24"/>
        </w:rPr>
        <w:t>s</w:t>
      </w:r>
      <w:r w:rsidRPr="00BB3831">
        <w:rPr>
          <w:rFonts w:ascii="Verdana" w:eastAsia="Times New Roman" w:hAnsi="Verdana" w:cs="Arial"/>
          <w:sz w:val="24"/>
          <w:szCs w:val="24"/>
        </w:rPr>
        <w:t xml:space="preserve"> </w:t>
      </w:r>
      <w:r w:rsidR="00EB71BF">
        <w:rPr>
          <w:rFonts w:ascii="Verdana" w:eastAsia="Times New Roman" w:hAnsi="Verdana" w:cs="Arial"/>
          <w:sz w:val="24"/>
          <w:szCs w:val="24"/>
        </w:rPr>
        <w:t xml:space="preserve">where appropriate, must </w:t>
      </w:r>
      <w:r w:rsidRPr="00BB3831">
        <w:rPr>
          <w:rFonts w:ascii="Verdana" w:eastAsia="Times New Roman" w:hAnsi="Verdana" w:cs="Arial"/>
          <w:sz w:val="24"/>
          <w:szCs w:val="24"/>
        </w:rPr>
        <w:t xml:space="preserve">contain a Risk Register in the prescribed format. The Risk Officer will periodically review papers being submitted to ensure consistency of approach and provide further guidance where required. The risk register must contain risks related to the decision(s) the Board are being asked to make (as opposed to the wider matter, such as project risks, procurement risks and so on).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After CEB risks from the CEB report must either be closed or transferred on to another risk register (project, contract, SRR or CRR) in line with the Operating Framework for escalation and flow of risks and/or closure of risks.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b/>
          <w:bCs/>
          <w:sz w:val="24"/>
          <w:szCs w:val="24"/>
        </w:rPr>
      </w:pPr>
      <w:r w:rsidRPr="00BB3831">
        <w:rPr>
          <w:rFonts w:ascii="Verdana" w:eastAsia="Times New Roman" w:hAnsi="Verdana" w:cs="Arial"/>
          <w:b/>
          <w:sz w:val="24"/>
          <w:szCs w:val="24"/>
        </w:rPr>
        <w:t>14.</w:t>
      </w:r>
      <w:r w:rsidRPr="00BB3831">
        <w:rPr>
          <w:rFonts w:ascii="Verdana" w:eastAsia="Times New Roman" w:hAnsi="Verdana" w:cs="Arial"/>
          <w:b/>
          <w:sz w:val="24"/>
          <w:szCs w:val="24"/>
        </w:rPr>
        <w:tab/>
      </w:r>
      <w:r w:rsidRPr="00BB3831">
        <w:rPr>
          <w:rFonts w:ascii="Verdana" w:eastAsia="Times New Roman" w:hAnsi="Verdana" w:cs="Arial"/>
          <w:b/>
          <w:bCs/>
          <w:sz w:val="24"/>
          <w:szCs w:val="24"/>
        </w:rPr>
        <w:t>Training</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Oxford City Council regards a tiered approach to training as being critical to the success of its risk management strategy. This approach means that appropriate staff and members are identified for training and that those individuals receive training that is appropriate to the type of responsibilities that they hold.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The extent of the training provided is reported to the Audit &amp; Governance Committee periodically. </w:t>
      </w:r>
    </w:p>
    <w:p w:rsidR="00BB3831" w:rsidRDefault="00BB3831"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Pr="00BB3831" w:rsidRDefault="00AF02ED" w:rsidP="00BB3831">
      <w:pPr>
        <w:spacing w:after="0" w:line="240" w:lineRule="auto"/>
        <w:rPr>
          <w:rFonts w:ascii="Arial" w:eastAsia="Times New Roman" w:hAnsi="Arial" w:cs="Arial"/>
          <w:sz w:val="20"/>
        </w:rPr>
      </w:pPr>
    </w:p>
    <w:p w:rsidR="00BB3831" w:rsidRPr="00BB3831" w:rsidRDefault="00BB3831" w:rsidP="00BB3831">
      <w:pPr>
        <w:spacing w:after="0" w:line="240" w:lineRule="auto"/>
        <w:rPr>
          <w:rFonts w:ascii="Arial" w:eastAsia="Times New Roman" w:hAnsi="Arial" w:cs="Arial"/>
          <w:sz w:val="20"/>
        </w:rPr>
      </w:pPr>
    </w:p>
    <w:p w:rsidR="00BB3831" w:rsidRPr="00BB3831" w:rsidRDefault="00BB3831" w:rsidP="00BB3831">
      <w:pPr>
        <w:spacing w:after="0" w:line="240" w:lineRule="auto"/>
        <w:rPr>
          <w:rFonts w:ascii="Verdana" w:eastAsia="Times New Roman" w:hAnsi="Verdana" w:cs="Arial"/>
          <w:b/>
          <w:bCs/>
          <w:sz w:val="24"/>
          <w:szCs w:val="24"/>
        </w:rPr>
      </w:pPr>
      <w:r w:rsidRPr="00BB3831">
        <w:rPr>
          <w:rFonts w:ascii="Verdana" w:eastAsia="Times New Roman" w:hAnsi="Verdana" w:cs="Arial"/>
          <w:b/>
          <w:sz w:val="24"/>
          <w:szCs w:val="24"/>
        </w:rPr>
        <w:t>15.</w:t>
      </w:r>
      <w:r w:rsidRPr="00BB3831">
        <w:rPr>
          <w:rFonts w:ascii="Verdana" w:eastAsia="Times New Roman" w:hAnsi="Verdana" w:cs="Arial"/>
          <w:b/>
          <w:sz w:val="24"/>
          <w:szCs w:val="24"/>
        </w:rPr>
        <w:tab/>
      </w:r>
      <w:r w:rsidRPr="00BB3831">
        <w:rPr>
          <w:rFonts w:ascii="Verdana" w:eastAsia="Times New Roman" w:hAnsi="Verdana" w:cs="Arial"/>
          <w:b/>
          <w:bCs/>
          <w:sz w:val="24"/>
          <w:szCs w:val="24"/>
        </w:rPr>
        <w:t>Roles &amp; Responsibilities</w:t>
      </w:r>
    </w:p>
    <w:p w:rsidR="00BB3831" w:rsidRPr="00BB3831" w:rsidRDefault="00BB3831" w:rsidP="00BB3831">
      <w:pPr>
        <w:spacing w:after="0" w:line="240" w:lineRule="auto"/>
        <w:rPr>
          <w:rFonts w:ascii="Arial" w:eastAsia="Times New Roman" w:hAnsi="Arial" w:cs="Arial"/>
          <w:sz w:val="20"/>
        </w:rPr>
      </w:pPr>
    </w:p>
    <w:tbl>
      <w:tblPr>
        <w:tblW w:w="90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69"/>
        <w:gridCol w:w="6531"/>
      </w:tblGrid>
      <w:tr w:rsidR="00BB3831" w:rsidRPr="00BB3831" w:rsidTr="00181944">
        <w:trPr>
          <w:tblHeader/>
        </w:trPr>
        <w:tc>
          <w:tcPr>
            <w:tcW w:w="2469" w:type="dxa"/>
            <w:shd w:val="clear" w:color="auto" w:fill="E0E0E0"/>
          </w:tcPr>
          <w:p w:rsidR="00BB3831" w:rsidRPr="00BB3831" w:rsidRDefault="00BB3831" w:rsidP="00BB3831">
            <w:pPr>
              <w:autoSpaceDE w:val="0"/>
              <w:autoSpaceDN w:val="0"/>
              <w:adjustRightInd w:val="0"/>
              <w:spacing w:before="120" w:after="120" w:line="240" w:lineRule="auto"/>
              <w:rPr>
                <w:rFonts w:ascii="Verdana" w:eastAsia="Times New Roman" w:hAnsi="Verdana" w:cs="Arial"/>
                <w:b/>
                <w:sz w:val="28"/>
                <w:szCs w:val="28"/>
              </w:rPr>
            </w:pPr>
            <w:r w:rsidRPr="00BB3831">
              <w:rPr>
                <w:rFonts w:ascii="Verdana" w:eastAsia="Times New Roman" w:hAnsi="Verdana" w:cs="Arial"/>
                <w:b/>
                <w:sz w:val="28"/>
                <w:szCs w:val="28"/>
              </w:rPr>
              <w:t>ROLE</w:t>
            </w:r>
          </w:p>
        </w:tc>
        <w:tc>
          <w:tcPr>
            <w:tcW w:w="6531" w:type="dxa"/>
            <w:shd w:val="clear" w:color="auto" w:fill="E0E0E0"/>
          </w:tcPr>
          <w:p w:rsidR="00BB3831" w:rsidRPr="00BB3831" w:rsidRDefault="00BB3831" w:rsidP="00BB3831">
            <w:pPr>
              <w:autoSpaceDE w:val="0"/>
              <w:autoSpaceDN w:val="0"/>
              <w:adjustRightInd w:val="0"/>
              <w:spacing w:before="120" w:after="120" w:line="240" w:lineRule="auto"/>
              <w:rPr>
                <w:rFonts w:ascii="Verdana" w:eastAsia="Times New Roman" w:hAnsi="Verdana" w:cs="Arial"/>
                <w:b/>
                <w:sz w:val="28"/>
                <w:szCs w:val="28"/>
              </w:rPr>
            </w:pPr>
            <w:r w:rsidRPr="00BB3831">
              <w:rPr>
                <w:rFonts w:ascii="Verdana" w:eastAsia="Times New Roman" w:hAnsi="Verdana" w:cs="Arial"/>
                <w:b/>
                <w:sz w:val="28"/>
                <w:szCs w:val="28"/>
              </w:rPr>
              <w:t>RESPONSIBILITIES</w:t>
            </w:r>
          </w:p>
        </w:tc>
      </w:tr>
      <w:tr w:rsidR="00BB3831" w:rsidRPr="00BB3831" w:rsidTr="00181944">
        <w:tc>
          <w:tcPr>
            <w:tcW w:w="2469" w:type="dxa"/>
          </w:tcPr>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BB3831">
              <w:rPr>
                <w:rFonts w:ascii="Verdana" w:eastAsia="Times New Roman" w:hAnsi="Verdana" w:cs="Arial"/>
                <w:b/>
                <w:bCs/>
                <w:sz w:val="24"/>
                <w:szCs w:val="24"/>
              </w:rPr>
              <w:t>The City Executive Board</w:t>
            </w:r>
          </w:p>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p>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p>
        </w:tc>
        <w:tc>
          <w:tcPr>
            <w:tcW w:w="6531" w:type="dxa"/>
          </w:tcPr>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Accountable for the adoption of the Council’s Risk Management Strategy</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bCs/>
                <w:sz w:val="24"/>
                <w:szCs w:val="24"/>
              </w:rPr>
            </w:pPr>
            <w:r w:rsidRPr="00BB3831">
              <w:rPr>
                <w:rFonts w:ascii="Verdana" w:eastAsia="Times New Roman" w:hAnsi="Verdana" w:cs="Arial"/>
                <w:sz w:val="24"/>
                <w:szCs w:val="24"/>
              </w:rPr>
              <w:t>Responsible for understanding the risk profile of Oxford City Council</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bCs/>
                <w:sz w:val="24"/>
                <w:szCs w:val="24"/>
              </w:rPr>
            </w:pPr>
            <w:r w:rsidRPr="00BB3831">
              <w:rPr>
                <w:rFonts w:ascii="Verdana" w:eastAsia="Times New Roman" w:hAnsi="Verdana" w:cs="Arial"/>
                <w:sz w:val="24"/>
                <w:szCs w:val="24"/>
              </w:rPr>
              <w:t xml:space="preserve">Accountable for ensuring that a corporate risk register is established, including details of the actions taken to mitigate against the risks identified, and that this is regularly monitored </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bCs/>
                <w:sz w:val="24"/>
                <w:szCs w:val="24"/>
              </w:rPr>
            </w:pPr>
            <w:r w:rsidRPr="00BB3831">
              <w:rPr>
                <w:rFonts w:ascii="Verdana" w:eastAsia="Times New Roman" w:hAnsi="Verdana" w:cs="Arial"/>
                <w:sz w:val="24"/>
                <w:szCs w:val="24"/>
              </w:rPr>
              <w:t>Oversee effective risk management across the Council and receive quarterly reports in relation to Corporate Risks</w:t>
            </w:r>
          </w:p>
        </w:tc>
      </w:tr>
      <w:tr w:rsidR="00BB3831" w:rsidRPr="00BB3831" w:rsidTr="00181944">
        <w:tc>
          <w:tcPr>
            <w:tcW w:w="2469" w:type="dxa"/>
          </w:tcPr>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BB3831">
              <w:rPr>
                <w:rFonts w:ascii="Verdana" w:eastAsia="Times New Roman" w:hAnsi="Verdana" w:cs="Arial"/>
                <w:b/>
                <w:bCs/>
                <w:sz w:val="24"/>
                <w:szCs w:val="24"/>
              </w:rPr>
              <w:t>Audit and Governance Committee</w:t>
            </w:r>
          </w:p>
        </w:tc>
        <w:tc>
          <w:tcPr>
            <w:tcW w:w="6531" w:type="dxa"/>
          </w:tcPr>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 xml:space="preserve">Consulted on the periodic review of the Risk Management Strategy </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 xml:space="preserve">Accountable for ensuring that risk management and risk management training is delivered on behalf of the City Executive Board by the Chief Executive and Executive Directors </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Receive quarterly reports in relation to Corporate Risks and make appropriate recommendations to City Executive Board</w:t>
            </w:r>
          </w:p>
        </w:tc>
      </w:tr>
      <w:tr w:rsidR="00BB3831" w:rsidRPr="00BB3831" w:rsidTr="00181944">
        <w:tc>
          <w:tcPr>
            <w:tcW w:w="2469" w:type="dxa"/>
          </w:tcPr>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BB3831">
              <w:rPr>
                <w:rFonts w:ascii="Verdana" w:eastAsia="Times New Roman" w:hAnsi="Verdana" w:cs="Arial"/>
                <w:b/>
                <w:bCs/>
                <w:sz w:val="24"/>
                <w:szCs w:val="24"/>
              </w:rPr>
              <w:t>CMT</w:t>
            </w:r>
          </w:p>
        </w:tc>
        <w:tc>
          <w:tcPr>
            <w:tcW w:w="6531" w:type="dxa"/>
          </w:tcPr>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 xml:space="preserve">Accountable for the review and adoption of the Risk Management Operating Framework </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Ensure that emerging internal and external risks are raised and discussed</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 xml:space="preserve">Review of the quarterly risk reports prior to their submission to Audit and Governance and City Executive Board </w:t>
            </w:r>
          </w:p>
        </w:tc>
      </w:tr>
      <w:tr w:rsidR="00BB3831" w:rsidRPr="00BB3831" w:rsidTr="00181944">
        <w:tc>
          <w:tcPr>
            <w:tcW w:w="2469" w:type="dxa"/>
          </w:tcPr>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BB3831">
              <w:rPr>
                <w:rFonts w:ascii="Verdana" w:eastAsia="Times New Roman" w:hAnsi="Verdana" w:cs="Arial"/>
                <w:b/>
                <w:bCs/>
                <w:sz w:val="24"/>
                <w:szCs w:val="24"/>
              </w:rPr>
              <w:t>Head of Finance</w:t>
            </w:r>
          </w:p>
        </w:tc>
        <w:tc>
          <w:tcPr>
            <w:tcW w:w="6531" w:type="dxa"/>
          </w:tcPr>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Support all staff including the Directors Group in delivering risk management activity</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Accountable for timely reporting to CEB and CMT</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Chairs Risk Group</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Responsible for delivery of training</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Nominated Section 151 Officer</w:t>
            </w:r>
          </w:p>
        </w:tc>
      </w:tr>
      <w:tr w:rsidR="00667AD5" w:rsidRPr="00BB3831" w:rsidTr="00181944">
        <w:tc>
          <w:tcPr>
            <w:tcW w:w="2469" w:type="dxa"/>
          </w:tcPr>
          <w:p w:rsidR="00667AD5" w:rsidRPr="00BB3831" w:rsidRDefault="00667AD5"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667AD5">
              <w:rPr>
                <w:rFonts w:ascii="Verdana" w:eastAsia="Times New Roman" w:hAnsi="Verdana" w:cs="Arial"/>
                <w:b/>
                <w:bCs/>
                <w:sz w:val="24"/>
                <w:szCs w:val="24"/>
              </w:rPr>
              <w:lastRenderedPageBreak/>
              <w:t>Head of Business Improvement and Technology</w:t>
            </w:r>
          </w:p>
        </w:tc>
        <w:tc>
          <w:tcPr>
            <w:tcW w:w="6531" w:type="dxa"/>
          </w:tcPr>
          <w:p w:rsidR="00667AD5" w:rsidRDefault="00667AD5" w:rsidP="00667AD5">
            <w:pPr>
              <w:pStyle w:val="ListParagraph"/>
              <w:numPr>
                <w:ilvl w:val="0"/>
                <w:numId w:val="15"/>
              </w:numPr>
              <w:rPr>
                <w:rFonts w:ascii="Verdana" w:hAnsi="Verdana"/>
              </w:rPr>
            </w:pPr>
            <w:r>
              <w:rPr>
                <w:rFonts w:ascii="Verdana" w:hAnsi="Verdana"/>
              </w:rPr>
              <w:t>Delivery of information management and data security related policies, processes and training</w:t>
            </w:r>
          </w:p>
          <w:p w:rsidR="00667AD5" w:rsidRDefault="00667AD5" w:rsidP="00667AD5">
            <w:pPr>
              <w:pStyle w:val="ListParagraph"/>
              <w:ind w:left="360"/>
              <w:rPr>
                <w:rFonts w:ascii="Verdana" w:hAnsi="Verdana"/>
              </w:rPr>
            </w:pPr>
          </w:p>
          <w:p w:rsidR="00667AD5" w:rsidRDefault="00667AD5" w:rsidP="00667AD5">
            <w:pPr>
              <w:pStyle w:val="ListParagraph"/>
              <w:numPr>
                <w:ilvl w:val="0"/>
                <w:numId w:val="15"/>
              </w:numPr>
              <w:rPr>
                <w:rFonts w:ascii="Verdana" w:hAnsi="Verdana"/>
              </w:rPr>
            </w:pPr>
            <w:r>
              <w:rPr>
                <w:rFonts w:ascii="Verdana" w:hAnsi="Verdana"/>
              </w:rPr>
              <w:t>Ensure that the Council meets requirements which are imposed on it by the Cabinet Office in order to achieve Public Services Network (PSN) accreditation</w:t>
            </w:r>
          </w:p>
          <w:p w:rsidR="00667AD5" w:rsidRDefault="00667AD5" w:rsidP="00667AD5">
            <w:pPr>
              <w:numPr>
                <w:ilvl w:val="0"/>
                <w:numId w:val="16"/>
              </w:numPr>
              <w:autoSpaceDE w:val="0"/>
              <w:autoSpaceDN w:val="0"/>
              <w:spacing w:beforeLines="60" w:before="144" w:afterLines="60" w:after="144" w:line="240" w:lineRule="auto"/>
              <w:rPr>
                <w:rFonts w:ascii="Verdana" w:hAnsi="Verdana"/>
              </w:rPr>
            </w:pPr>
            <w:r>
              <w:rPr>
                <w:rFonts w:ascii="Verdana" w:hAnsi="Verdana"/>
              </w:rPr>
              <w:t xml:space="preserve">Ensure that the Organisation’s approach to information risk is effective in terms of resource and commitment </w:t>
            </w:r>
          </w:p>
          <w:p w:rsidR="00667AD5" w:rsidRDefault="00667AD5" w:rsidP="00667AD5">
            <w:pPr>
              <w:pStyle w:val="ListParagraph"/>
              <w:numPr>
                <w:ilvl w:val="0"/>
                <w:numId w:val="16"/>
              </w:numPr>
              <w:rPr>
                <w:rFonts w:ascii="Verdana" w:hAnsi="Verdana"/>
              </w:rPr>
            </w:pPr>
            <w:r>
              <w:rPr>
                <w:rFonts w:ascii="Verdana" w:hAnsi="Verdana"/>
              </w:rPr>
              <w:t>Ensure that the Corporate risk group is adequately briefed on information risk issues</w:t>
            </w:r>
          </w:p>
          <w:p w:rsidR="00667AD5" w:rsidRDefault="00667AD5" w:rsidP="00667AD5">
            <w:pPr>
              <w:pStyle w:val="ListParagraph"/>
              <w:ind w:left="360"/>
              <w:rPr>
                <w:rFonts w:ascii="Verdana" w:hAnsi="Verdana"/>
              </w:rPr>
            </w:pPr>
          </w:p>
          <w:p w:rsidR="00667AD5" w:rsidRPr="00BB3831" w:rsidRDefault="00667AD5" w:rsidP="00667AD5">
            <w:pPr>
              <w:pStyle w:val="ListParagraph"/>
              <w:numPr>
                <w:ilvl w:val="0"/>
                <w:numId w:val="16"/>
              </w:numPr>
              <w:rPr>
                <w:rFonts w:ascii="Verdana" w:eastAsia="Times New Roman" w:hAnsi="Verdana"/>
              </w:rPr>
            </w:pPr>
            <w:r>
              <w:rPr>
                <w:rFonts w:ascii="Verdana" w:hAnsi="Verdana"/>
              </w:rPr>
              <w:t>Nominated Senior Information Risk Owner (SIRO)</w:t>
            </w:r>
          </w:p>
        </w:tc>
      </w:tr>
      <w:tr w:rsidR="00BB3831" w:rsidRPr="00BB3831" w:rsidTr="00181944">
        <w:tc>
          <w:tcPr>
            <w:tcW w:w="2469" w:type="dxa"/>
          </w:tcPr>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BB3831">
              <w:rPr>
                <w:rFonts w:ascii="Verdana" w:eastAsia="Times New Roman" w:hAnsi="Verdana" w:cs="Arial"/>
                <w:b/>
                <w:bCs/>
                <w:sz w:val="24"/>
                <w:szCs w:val="24"/>
              </w:rPr>
              <w:t>Risk Group</w:t>
            </w:r>
          </w:p>
        </w:tc>
        <w:tc>
          <w:tcPr>
            <w:tcW w:w="6531" w:type="dxa"/>
          </w:tcPr>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Provides guidance and supports the organisation in ensuring risk management is embedded in the organisation</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Promotes good risk management practices within the organisation</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Supports reviews of service and corporate risk registers</w:t>
            </w:r>
          </w:p>
        </w:tc>
      </w:tr>
    </w:tbl>
    <w:p w:rsidR="00BB3831" w:rsidRPr="00BB3831" w:rsidRDefault="00BB3831" w:rsidP="00BB3831">
      <w:pPr>
        <w:spacing w:after="0" w:line="240" w:lineRule="auto"/>
        <w:rPr>
          <w:rFonts w:ascii="Arial" w:eastAsia="Times New Roman" w:hAnsi="Arial" w:cs="Arial"/>
          <w:sz w:val="20"/>
          <w:szCs w:val="1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16.</w:t>
      </w:r>
      <w:r w:rsidRPr="00BB3831">
        <w:rPr>
          <w:rFonts w:ascii="Verdana" w:eastAsia="Times New Roman" w:hAnsi="Verdana" w:cs="Arial"/>
          <w:b/>
          <w:sz w:val="24"/>
          <w:szCs w:val="24"/>
        </w:rPr>
        <w:tab/>
        <w:t>Definitions</w:t>
      </w:r>
    </w:p>
    <w:p w:rsidR="00BB3831" w:rsidRPr="00BB3831" w:rsidRDefault="00BB3831" w:rsidP="00BB3831">
      <w:pPr>
        <w:spacing w:after="0" w:line="240" w:lineRule="auto"/>
        <w:rPr>
          <w:rFonts w:ascii="Arial" w:eastAsia="Times New Roman" w:hAnsi="Arial" w:cs="Arial"/>
          <w:b/>
          <w:sz w:val="20"/>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b/>
          <w:sz w:val="24"/>
          <w:szCs w:val="24"/>
        </w:rPr>
        <w:t>CRR</w:t>
      </w:r>
      <w:r w:rsidRPr="00BB3831">
        <w:rPr>
          <w:rFonts w:ascii="Verdana" w:eastAsia="Times New Roman" w:hAnsi="Verdana" w:cs="Arial"/>
          <w:sz w:val="24"/>
          <w:szCs w:val="24"/>
        </w:rPr>
        <w:t xml:space="preserve"> – Corporate Risk Register</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b/>
          <w:sz w:val="24"/>
          <w:szCs w:val="24"/>
        </w:rPr>
        <w:t>SRR</w:t>
      </w:r>
      <w:r w:rsidRPr="00BB3831">
        <w:rPr>
          <w:rFonts w:ascii="Verdana" w:eastAsia="Times New Roman" w:hAnsi="Verdana" w:cs="Arial"/>
          <w:sz w:val="24"/>
          <w:szCs w:val="24"/>
        </w:rPr>
        <w:t xml:space="preserve"> – Service Risk Register</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b/>
          <w:sz w:val="24"/>
          <w:szCs w:val="24"/>
        </w:rPr>
        <w:t>CEB</w:t>
      </w:r>
      <w:r w:rsidRPr="00BB3831">
        <w:rPr>
          <w:rFonts w:ascii="Verdana" w:eastAsia="Times New Roman" w:hAnsi="Verdana" w:cs="Arial"/>
          <w:sz w:val="24"/>
          <w:szCs w:val="24"/>
        </w:rPr>
        <w:t xml:space="preserve"> – City Executive Board Reports/Registers</w:t>
      </w:r>
    </w:p>
    <w:p w:rsidR="00BB3831" w:rsidRPr="00BB3831" w:rsidRDefault="00BB3831" w:rsidP="00BB3831">
      <w:pPr>
        <w:spacing w:after="0" w:line="240" w:lineRule="auto"/>
        <w:rPr>
          <w:rFonts w:ascii="Verdana" w:eastAsia="Times New Roman" w:hAnsi="Verdana" w:cs="Arial"/>
          <w:sz w:val="24"/>
          <w:szCs w:val="24"/>
        </w:rPr>
      </w:pPr>
    </w:p>
    <w:p w:rsid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b/>
          <w:sz w:val="24"/>
          <w:szCs w:val="24"/>
        </w:rPr>
        <w:t>Benchmarking</w:t>
      </w:r>
      <w:r w:rsidRPr="00BB3831">
        <w:rPr>
          <w:rFonts w:ascii="Verdana" w:eastAsia="Times New Roman" w:hAnsi="Verdana" w:cs="Arial"/>
          <w:sz w:val="24"/>
          <w:szCs w:val="24"/>
        </w:rPr>
        <w:t xml:space="preserve"> – E</w:t>
      </w:r>
      <w:r w:rsidR="00C31B64">
        <w:rPr>
          <w:rFonts w:ascii="Verdana" w:eastAsia="Times New Roman" w:hAnsi="Verdana" w:cs="Arial"/>
          <w:sz w:val="24"/>
          <w:szCs w:val="24"/>
        </w:rPr>
        <w:t xml:space="preserve">ach year </w:t>
      </w:r>
      <w:r w:rsidR="001B71B8">
        <w:rPr>
          <w:rFonts w:ascii="Verdana" w:eastAsia="Times New Roman" w:hAnsi="Verdana" w:cs="Arial"/>
          <w:sz w:val="24"/>
          <w:szCs w:val="24"/>
        </w:rPr>
        <w:t>the Councils Risk Management Strategy is benchmarked against over 40 other local authorities via the Alarm/CIPFA Risk Management benchmarking club</w:t>
      </w:r>
    </w:p>
    <w:p w:rsidR="001B71B8" w:rsidRPr="00BB3831" w:rsidRDefault="001B71B8"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b/>
          <w:sz w:val="24"/>
          <w:szCs w:val="24"/>
        </w:rPr>
        <w:t>Risk group</w:t>
      </w:r>
      <w:r w:rsidRPr="00BB3831">
        <w:rPr>
          <w:rFonts w:ascii="Verdana" w:eastAsia="Times New Roman" w:hAnsi="Verdana" w:cs="Arial"/>
          <w:sz w:val="24"/>
          <w:szCs w:val="24"/>
        </w:rPr>
        <w:t xml:space="preserve"> – Responsible for supporting risk management practice in the Council</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b/>
          <w:sz w:val="24"/>
          <w:szCs w:val="24"/>
        </w:rPr>
        <w:t>Corporate Management Team (CMT)</w:t>
      </w:r>
      <w:r w:rsidRPr="00BB3831">
        <w:rPr>
          <w:rFonts w:ascii="Verdana" w:eastAsia="Times New Roman" w:hAnsi="Verdana" w:cs="Arial"/>
          <w:sz w:val="24"/>
          <w:szCs w:val="24"/>
        </w:rPr>
        <w:t xml:space="preserve"> – Directors &amp; Service Heads meeting</w:t>
      </w:r>
    </w:p>
    <w:p w:rsidR="00EC0D0D" w:rsidRDefault="00EC0D0D" w:rsidP="00EC0D0D">
      <w:pPr>
        <w:ind w:left="-851"/>
      </w:pPr>
    </w:p>
    <w:p w:rsidR="00CE5F65" w:rsidRDefault="00245092" w:rsidP="00245092">
      <w:pPr>
        <w:ind w:left="-709"/>
      </w:pPr>
      <w:r>
        <w:br w:type="column"/>
      </w:r>
      <w:r w:rsidR="00AF02ED">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-451485</wp:posOffset>
                </wp:positionH>
                <wp:positionV relativeFrom="page">
                  <wp:posOffset>8842375</wp:posOffset>
                </wp:positionV>
                <wp:extent cx="4676140" cy="952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952500"/>
                        </a:xfrm>
                        <a:prstGeom prst="rect">
                          <a:avLst/>
                        </a:prstGeom>
                        <a:solidFill>
                          <a:srgbClr val="E77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2ED" w:rsidRDefault="00AF02ED">
                            <w:pPr>
                              <w:rPr>
                                <w:b/>
                                <w:bCs/>
                              </w:rPr>
                            </w:pPr>
                            <w:r>
                              <w:rPr>
                                <w:b/>
                                <w:bCs/>
                              </w:rPr>
                              <w:t>Finance Department</w:t>
                            </w:r>
                          </w:p>
                          <w:p w:rsidR="00AF02ED" w:rsidRDefault="00AF02ED">
                            <w:pPr>
                              <w:pStyle w:val="Header"/>
                            </w:pPr>
                            <w:r>
                              <w:t xml:space="preserve">St </w:t>
                            </w:r>
                            <w:proofErr w:type="spellStart"/>
                            <w:r>
                              <w:t>Aldate’s</w:t>
                            </w:r>
                            <w:proofErr w:type="spellEnd"/>
                            <w:r>
                              <w:t xml:space="preserve"> Chambers, St </w:t>
                            </w:r>
                            <w:proofErr w:type="spellStart"/>
                            <w:r>
                              <w:t>Adate’s</w:t>
                            </w:r>
                            <w:proofErr w:type="spellEnd"/>
                            <w:r>
                              <w:t>, Oxford, OX1 1DS</w:t>
                            </w:r>
                          </w:p>
                          <w:p w:rsidR="00AF02ED" w:rsidRPr="00AF02ED" w:rsidRDefault="00AF02ED">
                            <w:pPr>
                              <w:pStyle w:val="Heading5"/>
                              <w:rPr>
                                <w:sz w:val="20"/>
                                <w:szCs w:val="20"/>
                              </w:rPr>
                            </w:pPr>
                            <w:r w:rsidRPr="00AF02ED">
                              <w:rPr>
                                <w:sz w:val="20"/>
                                <w:szCs w:val="20"/>
                              </w:rPr>
                              <w:t xml:space="preserve">T: </w:t>
                            </w:r>
                            <w:r w:rsidRPr="00AF02ED">
                              <w:rPr>
                                <w:b w:val="0"/>
                                <w:bCs w:val="0"/>
                                <w:sz w:val="20"/>
                                <w:szCs w:val="20"/>
                              </w:rPr>
                              <w:t xml:space="preserve">01865 </w:t>
                            </w:r>
                            <w:r w:rsidRPr="00AF02ED">
                              <w:rPr>
                                <w:sz w:val="20"/>
                                <w:szCs w:val="20"/>
                              </w:rPr>
                              <w:t xml:space="preserve">249811   </w:t>
                            </w:r>
                          </w:p>
                          <w:p w:rsidR="00AF02ED" w:rsidRDefault="00AF02ED">
                            <w:pPr>
                              <w:rPr>
                                <w:b/>
                                <w:bCs/>
                              </w:rPr>
                            </w:pPr>
                            <w:r>
                              <w:rPr>
                                <w:b/>
                                <w:bCs/>
                              </w:rPr>
                              <w:t>www.oxford.gov.uk</w:t>
                            </w:r>
                          </w:p>
                          <w:p w:rsidR="00AF02ED" w:rsidRDefault="00AF02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5.55pt;margin-top:696.25pt;width:368.2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" fillcolor="#e77300" stroked="f">
                <v:textbox>
                  <w:txbxContent>
                    <w:p w:rsidR="00AF02ED" w:rsidRDefault="00AF02ED">
                      <w:pPr>
                        <w:rPr>
                          <w:b/>
                          <w:bCs/>
                        </w:rPr>
                      </w:pPr>
                      <w:r>
                        <w:rPr>
                          <w:b/>
                          <w:bCs/>
                        </w:rPr>
                        <w:t>Finance Department</w:t>
                      </w:r>
                    </w:p>
                    <w:p w:rsidR="00AF02ED" w:rsidRDefault="00AF02ED">
                      <w:pPr>
                        <w:pStyle w:val="Header"/>
                      </w:pPr>
                      <w:r>
                        <w:t xml:space="preserve">St </w:t>
                      </w:r>
                      <w:proofErr w:type="spellStart"/>
                      <w:r>
                        <w:t>Aldate’s</w:t>
                      </w:r>
                      <w:proofErr w:type="spellEnd"/>
                      <w:r>
                        <w:t xml:space="preserve"> Chambers, St </w:t>
                      </w:r>
                      <w:proofErr w:type="spellStart"/>
                      <w:r>
                        <w:t>Adate’s</w:t>
                      </w:r>
                      <w:proofErr w:type="spellEnd"/>
                      <w:r>
                        <w:t>, Oxford, OX1 1DS</w:t>
                      </w:r>
                    </w:p>
                    <w:p w:rsidR="00AF02ED" w:rsidRPr="00AF02ED" w:rsidRDefault="00AF02ED">
                      <w:pPr>
                        <w:pStyle w:val="Heading5"/>
                        <w:rPr>
                          <w:sz w:val="20"/>
                          <w:szCs w:val="20"/>
                        </w:rPr>
                      </w:pPr>
                      <w:r w:rsidRPr="00AF02ED">
                        <w:rPr>
                          <w:sz w:val="20"/>
                          <w:szCs w:val="20"/>
                        </w:rPr>
                        <w:t xml:space="preserve">T: </w:t>
                      </w:r>
                      <w:r w:rsidRPr="00AF02ED">
                        <w:rPr>
                          <w:b w:val="0"/>
                          <w:bCs w:val="0"/>
                          <w:sz w:val="20"/>
                          <w:szCs w:val="20"/>
                        </w:rPr>
                        <w:t xml:space="preserve">01865 </w:t>
                      </w:r>
                      <w:r w:rsidRPr="00AF02ED">
                        <w:rPr>
                          <w:sz w:val="20"/>
                          <w:szCs w:val="20"/>
                        </w:rPr>
                        <w:t xml:space="preserve">249811   </w:t>
                      </w:r>
                    </w:p>
                    <w:p w:rsidR="00AF02ED" w:rsidRDefault="00AF02ED">
                      <w:pPr>
                        <w:rPr>
                          <w:b/>
                          <w:bCs/>
                        </w:rPr>
                      </w:pPr>
                      <w:r>
                        <w:rPr>
                          <w:b/>
                          <w:bCs/>
                        </w:rPr>
                        <w:t>www.oxford.gov.uk</w:t>
                      </w:r>
                    </w:p>
                    <w:p w:rsidR="00AF02ED" w:rsidRDefault="00AF02ED"/>
                  </w:txbxContent>
                </v:textbox>
                <w10:wrap anchory="page"/>
              </v:shape>
            </w:pict>
          </mc:Fallback>
        </mc:AlternateContent>
      </w:r>
      <w:r>
        <w:rPr>
          <w:noProof/>
          <w:lang w:eastAsia="en-GB"/>
        </w:rPr>
        <w:drawing>
          <wp:inline distT="0" distB="0" distL="0" distR="0" wp14:anchorId="098A02CF" wp14:editId="0E9A72D4">
            <wp:extent cx="6844030" cy="9947275"/>
            <wp:effectExtent l="0" t="0" r="0" b="0"/>
            <wp:docPr id="7" name="Picture 7" descr="A4 (A5) portrait report back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5) portrait report back c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4030" cy="994727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3360" behindDoc="0" locked="0" layoutInCell="1" allowOverlap="1" wp14:anchorId="5633E843" wp14:editId="2062237D">
                <wp:simplePos x="0" y="0"/>
                <wp:positionH relativeFrom="column">
                  <wp:posOffset>250190</wp:posOffset>
                </wp:positionH>
                <wp:positionV relativeFrom="paragraph">
                  <wp:posOffset>308610</wp:posOffset>
                </wp:positionV>
                <wp:extent cx="7032625" cy="10033635"/>
                <wp:effectExtent l="0" t="127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1003363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092" w:rsidRDefault="002450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7pt;margin-top:24.3pt;width:553.75pt;height:79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" filled="f" fillcolor="#363c92" stroked="f">
                <v:textbox>
                  <w:txbxContent>
                    <w:p w:rsidR="00245092" w:rsidRDefault="00245092"/>
                  </w:txbxContent>
                </v:textbox>
              </v:shape>
            </w:pict>
          </mc:Fallback>
        </mc:AlternateContent>
      </w:r>
    </w:p>
    <w:sectPr w:rsidR="00CE5F65" w:rsidSect="00845F19">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B3" w:rsidRDefault="00474CB3" w:rsidP="00474CB3">
      <w:pPr>
        <w:spacing w:after="0" w:line="240" w:lineRule="auto"/>
      </w:pPr>
      <w:r>
        <w:separator/>
      </w:r>
    </w:p>
  </w:endnote>
  <w:endnote w:type="continuationSeparator" w:id="0">
    <w:p w:rsidR="00474CB3" w:rsidRDefault="00474CB3" w:rsidP="0047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845F19" w:rsidTr="00845F19">
      <w:tc>
        <w:tcPr>
          <w:tcW w:w="4500" w:type="pct"/>
          <w:tcBorders>
            <w:top w:val="single" w:sz="4" w:space="0" w:color="000000" w:themeColor="text1"/>
          </w:tcBorders>
        </w:tcPr>
        <w:p w:rsidR="00845F19" w:rsidRDefault="00D7368F" w:rsidP="00682D1E">
          <w:pPr>
            <w:pStyle w:val="Footer"/>
            <w:jc w:val="right"/>
          </w:pPr>
          <w:sdt>
            <w:sdtPr>
              <w:alias w:val="Company"/>
              <w:id w:val="75971759"/>
              <w:placeholder>
                <w:docPart w:val="C32C2AFC77834E31A390BAD2C097E1ED"/>
              </w:placeholder>
              <w:dataBinding w:prefixMappings="xmlns:ns0='http://schemas.openxmlformats.org/officeDocument/2006/extended-properties'" w:xpath="/ns0:Properties[1]/ns0:Company[1]" w:storeItemID="{6668398D-A668-4E3E-A5EB-62B293D839F1}"/>
              <w:text/>
            </w:sdtPr>
            <w:sdtEndPr/>
            <w:sdtContent>
              <w:r w:rsidR="00845F19">
                <w:t>Oxford City Council</w:t>
              </w:r>
            </w:sdtContent>
          </w:sdt>
          <w:r w:rsidR="00845F19">
            <w:t xml:space="preserve"> | Risk Management Strategy  June 2014 version </w:t>
          </w:r>
          <w:r w:rsidR="00682D1E">
            <w:t>4</w:t>
          </w:r>
          <w:r w:rsidR="00845F19">
            <w:t>.0</w:t>
          </w:r>
        </w:p>
      </w:tc>
      <w:tc>
        <w:tcPr>
          <w:tcW w:w="500" w:type="pct"/>
          <w:shd w:val="clear" w:color="auto" w:fill="auto"/>
        </w:tcPr>
        <w:p w:rsidR="00845F19" w:rsidRPr="00845F19" w:rsidRDefault="00845F19">
          <w:pPr>
            <w:pStyle w:val="Header"/>
          </w:pPr>
        </w:p>
      </w:tc>
    </w:tr>
  </w:tbl>
  <w:p w:rsidR="00474CB3" w:rsidRDefault="00474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B3" w:rsidRDefault="00474CB3" w:rsidP="00474CB3">
      <w:pPr>
        <w:spacing w:after="0" w:line="240" w:lineRule="auto"/>
      </w:pPr>
      <w:r>
        <w:separator/>
      </w:r>
    </w:p>
  </w:footnote>
  <w:footnote w:type="continuationSeparator" w:id="0">
    <w:p w:rsidR="00474CB3" w:rsidRDefault="00474CB3" w:rsidP="00474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588"/>
    <w:multiLevelType w:val="singleLevel"/>
    <w:tmpl w:val="179AC402"/>
    <w:lvl w:ilvl="0">
      <w:start w:val="1"/>
      <w:numFmt w:val="bullet"/>
      <w:lvlText w:val=""/>
      <w:lvlJc w:val="left"/>
      <w:pPr>
        <w:tabs>
          <w:tab w:val="num" w:pos="360"/>
        </w:tabs>
        <w:ind w:left="360" w:hanging="360"/>
      </w:pPr>
      <w:rPr>
        <w:rFonts w:ascii="Symbol" w:hAnsi="Symbol" w:hint="default"/>
      </w:rPr>
    </w:lvl>
  </w:abstractNum>
  <w:abstractNum w:abstractNumId="1">
    <w:nsid w:val="063373D2"/>
    <w:multiLevelType w:val="hybridMultilevel"/>
    <w:tmpl w:val="359613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A82EC7"/>
    <w:multiLevelType w:val="hybridMultilevel"/>
    <w:tmpl w:val="3B56C148"/>
    <w:lvl w:ilvl="0" w:tplc="4224B69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494423"/>
    <w:multiLevelType w:val="multilevel"/>
    <w:tmpl w:val="CC9ABBEA"/>
    <w:lvl w:ilvl="0">
      <w:start w:val="9"/>
      <w:numFmt w:val="decimal"/>
      <w:lvlText w:val="%1."/>
      <w:lvlJc w:val="left"/>
      <w:pPr>
        <w:tabs>
          <w:tab w:val="num" w:pos="1080"/>
        </w:tabs>
        <w:ind w:left="1080" w:hanging="720"/>
      </w:pPr>
      <w:rPr>
        <w:rFonts w:hint="default"/>
      </w:rPr>
    </w:lvl>
    <w:lvl w:ilvl="1">
      <w:start w:val="67"/>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5293D97"/>
    <w:multiLevelType w:val="multilevel"/>
    <w:tmpl w:val="07C0C40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2C0F55"/>
    <w:multiLevelType w:val="hybridMultilevel"/>
    <w:tmpl w:val="E05473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6E133FC"/>
    <w:multiLevelType w:val="hybridMultilevel"/>
    <w:tmpl w:val="019E64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38D57C51"/>
    <w:multiLevelType w:val="hybridMultilevel"/>
    <w:tmpl w:val="01847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080EAC"/>
    <w:multiLevelType w:val="hybridMultilevel"/>
    <w:tmpl w:val="1A28F36C"/>
    <w:lvl w:ilvl="0" w:tplc="4224B69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3351A7F"/>
    <w:multiLevelType w:val="hybridMultilevel"/>
    <w:tmpl w:val="B81A5A08"/>
    <w:lvl w:ilvl="0" w:tplc="50125D56">
      <w:start w:val="1"/>
      <w:numFmt w:val="bullet"/>
      <w:lvlText w:val="•"/>
      <w:lvlJc w:val="left"/>
      <w:pPr>
        <w:tabs>
          <w:tab w:val="num" w:pos="720"/>
        </w:tabs>
        <w:ind w:left="720" w:hanging="360"/>
      </w:pPr>
      <w:rPr>
        <w:rFonts w:ascii="Verdana" w:hAnsi="Verdana" w:hint="default"/>
      </w:rPr>
    </w:lvl>
    <w:lvl w:ilvl="1" w:tplc="09A8D810">
      <w:start w:val="2752"/>
      <w:numFmt w:val="bullet"/>
      <w:lvlText w:val="•"/>
      <w:lvlJc w:val="left"/>
      <w:pPr>
        <w:tabs>
          <w:tab w:val="num" w:pos="1440"/>
        </w:tabs>
        <w:ind w:left="1440" w:hanging="360"/>
      </w:pPr>
      <w:rPr>
        <w:rFonts w:ascii="Verdana" w:hAnsi="Verdana" w:hint="default"/>
      </w:rPr>
    </w:lvl>
    <w:lvl w:ilvl="2" w:tplc="701076C4" w:tentative="1">
      <w:start w:val="1"/>
      <w:numFmt w:val="bullet"/>
      <w:lvlText w:val="•"/>
      <w:lvlJc w:val="left"/>
      <w:pPr>
        <w:tabs>
          <w:tab w:val="num" w:pos="2160"/>
        </w:tabs>
        <w:ind w:left="2160" w:hanging="360"/>
      </w:pPr>
      <w:rPr>
        <w:rFonts w:ascii="Verdana" w:hAnsi="Verdana" w:hint="default"/>
      </w:rPr>
    </w:lvl>
    <w:lvl w:ilvl="3" w:tplc="CC44D19C" w:tentative="1">
      <w:start w:val="1"/>
      <w:numFmt w:val="bullet"/>
      <w:lvlText w:val="•"/>
      <w:lvlJc w:val="left"/>
      <w:pPr>
        <w:tabs>
          <w:tab w:val="num" w:pos="2880"/>
        </w:tabs>
        <w:ind w:left="2880" w:hanging="360"/>
      </w:pPr>
      <w:rPr>
        <w:rFonts w:ascii="Verdana" w:hAnsi="Verdana" w:hint="default"/>
      </w:rPr>
    </w:lvl>
    <w:lvl w:ilvl="4" w:tplc="D4D0ACA0" w:tentative="1">
      <w:start w:val="1"/>
      <w:numFmt w:val="bullet"/>
      <w:lvlText w:val="•"/>
      <w:lvlJc w:val="left"/>
      <w:pPr>
        <w:tabs>
          <w:tab w:val="num" w:pos="3600"/>
        </w:tabs>
        <w:ind w:left="3600" w:hanging="360"/>
      </w:pPr>
      <w:rPr>
        <w:rFonts w:ascii="Verdana" w:hAnsi="Verdana" w:hint="default"/>
      </w:rPr>
    </w:lvl>
    <w:lvl w:ilvl="5" w:tplc="03D8CC46" w:tentative="1">
      <w:start w:val="1"/>
      <w:numFmt w:val="bullet"/>
      <w:lvlText w:val="•"/>
      <w:lvlJc w:val="left"/>
      <w:pPr>
        <w:tabs>
          <w:tab w:val="num" w:pos="4320"/>
        </w:tabs>
        <w:ind w:left="4320" w:hanging="360"/>
      </w:pPr>
      <w:rPr>
        <w:rFonts w:ascii="Verdana" w:hAnsi="Verdana" w:hint="default"/>
      </w:rPr>
    </w:lvl>
    <w:lvl w:ilvl="6" w:tplc="3FE482BE" w:tentative="1">
      <w:start w:val="1"/>
      <w:numFmt w:val="bullet"/>
      <w:lvlText w:val="•"/>
      <w:lvlJc w:val="left"/>
      <w:pPr>
        <w:tabs>
          <w:tab w:val="num" w:pos="5040"/>
        </w:tabs>
        <w:ind w:left="5040" w:hanging="360"/>
      </w:pPr>
      <w:rPr>
        <w:rFonts w:ascii="Verdana" w:hAnsi="Verdana" w:hint="default"/>
      </w:rPr>
    </w:lvl>
    <w:lvl w:ilvl="7" w:tplc="54863402" w:tentative="1">
      <w:start w:val="1"/>
      <w:numFmt w:val="bullet"/>
      <w:lvlText w:val="•"/>
      <w:lvlJc w:val="left"/>
      <w:pPr>
        <w:tabs>
          <w:tab w:val="num" w:pos="5760"/>
        </w:tabs>
        <w:ind w:left="5760" w:hanging="360"/>
      </w:pPr>
      <w:rPr>
        <w:rFonts w:ascii="Verdana" w:hAnsi="Verdana" w:hint="default"/>
      </w:rPr>
    </w:lvl>
    <w:lvl w:ilvl="8" w:tplc="7FFEC576" w:tentative="1">
      <w:start w:val="1"/>
      <w:numFmt w:val="bullet"/>
      <w:lvlText w:val="•"/>
      <w:lvlJc w:val="left"/>
      <w:pPr>
        <w:tabs>
          <w:tab w:val="num" w:pos="6480"/>
        </w:tabs>
        <w:ind w:left="6480" w:hanging="360"/>
      </w:pPr>
      <w:rPr>
        <w:rFonts w:ascii="Verdana" w:hAnsi="Verdana" w:hint="default"/>
      </w:rPr>
    </w:lvl>
  </w:abstractNum>
  <w:abstractNum w:abstractNumId="10">
    <w:nsid w:val="6F7F3DAB"/>
    <w:multiLevelType w:val="hybridMultilevel"/>
    <w:tmpl w:val="1BEC73AC"/>
    <w:lvl w:ilvl="0" w:tplc="3DE8365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804F4A"/>
    <w:multiLevelType w:val="hybridMultilevel"/>
    <w:tmpl w:val="3AC4CC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74495B87"/>
    <w:multiLevelType w:val="hybridMultilevel"/>
    <w:tmpl w:val="48B49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64594B"/>
    <w:multiLevelType w:val="hybridMultilevel"/>
    <w:tmpl w:val="C7D01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040E23"/>
    <w:multiLevelType w:val="hybridMultilevel"/>
    <w:tmpl w:val="FCF29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5"/>
  </w:num>
  <w:num w:numId="4">
    <w:abstractNumId w:val="12"/>
  </w:num>
  <w:num w:numId="5">
    <w:abstractNumId w:val="7"/>
  </w:num>
  <w:num w:numId="6">
    <w:abstractNumId w:val="11"/>
  </w:num>
  <w:num w:numId="7">
    <w:abstractNumId w:val="0"/>
  </w:num>
  <w:num w:numId="8">
    <w:abstractNumId w:val="1"/>
  </w:num>
  <w:num w:numId="9">
    <w:abstractNumId w:val="2"/>
  </w:num>
  <w:num w:numId="10">
    <w:abstractNumId w:val="13"/>
  </w:num>
  <w:num w:numId="11">
    <w:abstractNumId w:val="10"/>
  </w:num>
  <w:num w:numId="12">
    <w:abstractNumId w:val="3"/>
  </w:num>
  <w:num w:numId="13">
    <w:abstractNumId w:val="4"/>
  </w:num>
  <w:num w:numId="14">
    <w:abstractNumId w:val="6"/>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CB"/>
    <w:rsid w:val="00071D68"/>
    <w:rsid w:val="001001A1"/>
    <w:rsid w:val="001B71B8"/>
    <w:rsid w:val="00245092"/>
    <w:rsid w:val="00290E1E"/>
    <w:rsid w:val="002B0D4D"/>
    <w:rsid w:val="00330203"/>
    <w:rsid w:val="003C63FC"/>
    <w:rsid w:val="003D7B1B"/>
    <w:rsid w:val="004035DF"/>
    <w:rsid w:val="00474CB3"/>
    <w:rsid w:val="00667AD5"/>
    <w:rsid w:val="00682D1E"/>
    <w:rsid w:val="008066A8"/>
    <w:rsid w:val="00845F19"/>
    <w:rsid w:val="00855B7C"/>
    <w:rsid w:val="008E6305"/>
    <w:rsid w:val="00923042"/>
    <w:rsid w:val="009D1FCB"/>
    <w:rsid w:val="00A76DD7"/>
    <w:rsid w:val="00AA0F0C"/>
    <w:rsid w:val="00AF02ED"/>
    <w:rsid w:val="00B93B9C"/>
    <w:rsid w:val="00BB3831"/>
    <w:rsid w:val="00C31B64"/>
    <w:rsid w:val="00C339C0"/>
    <w:rsid w:val="00CC475F"/>
    <w:rsid w:val="00CE5F65"/>
    <w:rsid w:val="00D7368F"/>
    <w:rsid w:val="00DB6BBC"/>
    <w:rsid w:val="00DE39AB"/>
    <w:rsid w:val="00E63552"/>
    <w:rsid w:val="00EB71BF"/>
    <w:rsid w:val="00EC0D0D"/>
    <w:rsid w:val="00FB503D"/>
    <w:rsid w:val="00FE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F02ED"/>
    <w:pPr>
      <w:keepNext/>
      <w:spacing w:after="0" w:line="240" w:lineRule="auto"/>
      <w:outlineLvl w:val="4"/>
    </w:pPr>
    <w:rPr>
      <w:rFonts w:ascii="Arial" w:eastAsia="Times New Roman" w:hAnsi="Arial" w:cs="Times New Roman"/>
      <w:b/>
      <w:bCs/>
      <w:color w:val="FFFF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CB"/>
    <w:rPr>
      <w:rFonts w:ascii="Tahoma" w:hAnsi="Tahoma" w:cs="Tahoma"/>
      <w:sz w:val="16"/>
      <w:szCs w:val="16"/>
    </w:rPr>
  </w:style>
  <w:style w:type="paragraph" w:styleId="Caption">
    <w:name w:val="caption"/>
    <w:basedOn w:val="Normal"/>
    <w:next w:val="Normal"/>
    <w:uiPriority w:val="35"/>
    <w:unhideWhenUsed/>
    <w:qFormat/>
    <w:rsid w:val="009D1FCB"/>
    <w:pPr>
      <w:spacing w:line="240" w:lineRule="auto"/>
    </w:pPr>
    <w:rPr>
      <w:b/>
      <w:bCs/>
      <w:color w:val="4F81BD" w:themeColor="accent1"/>
      <w:sz w:val="18"/>
      <w:szCs w:val="18"/>
    </w:rPr>
  </w:style>
  <w:style w:type="paragraph" w:styleId="Header">
    <w:name w:val="header"/>
    <w:basedOn w:val="Normal"/>
    <w:link w:val="HeaderChar"/>
    <w:unhideWhenUsed/>
    <w:rsid w:val="00474CB3"/>
    <w:pPr>
      <w:tabs>
        <w:tab w:val="center" w:pos="4513"/>
        <w:tab w:val="right" w:pos="9026"/>
      </w:tabs>
      <w:spacing w:after="0" w:line="240" w:lineRule="auto"/>
    </w:pPr>
  </w:style>
  <w:style w:type="character" w:customStyle="1" w:styleId="HeaderChar">
    <w:name w:val="Header Char"/>
    <w:basedOn w:val="DefaultParagraphFont"/>
    <w:link w:val="Header"/>
    <w:rsid w:val="00474CB3"/>
  </w:style>
  <w:style w:type="paragraph" w:styleId="Footer">
    <w:name w:val="footer"/>
    <w:basedOn w:val="Normal"/>
    <w:link w:val="FooterChar"/>
    <w:uiPriority w:val="99"/>
    <w:unhideWhenUsed/>
    <w:rsid w:val="0047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B3"/>
  </w:style>
  <w:style w:type="character" w:customStyle="1" w:styleId="Heading5Char">
    <w:name w:val="Heading 5 Char"/>
    <w:basedOn w:val="DefaultParagraphFont"/>
    <w:link w:val="Heading5"/>
    <w:rsid w:val="00AF02ED"/>
    <w:rPr>
      <w:rFonts w:ascii="Arial" w:eastAsia="Times New Roman" w:hAnsi="Arial" w:cs="Times New Roman"/>
      <w:b/>
      <w:bCs/>
      <w:color w:val="FFFFFF"/>
      <w:sz w:val="28"/>
      <w:szCs w:val="24"/>
    </w:rPr>
  </w:style>
  <w:style w:type="paragraph" w:styleId="ListParagraph">
    <w:name w:val="List Paragraph"/>
    <w:basedOn w:val="Normal"/>
    <w:uiPriority w:val="34"/>
    <w:qFormat/>
    <w:rsid w:val="00667AD5"/>
    <w:pPr>
      <w:spacing w:after="0" w:line="240" w:lineRule="auto"/>
      <w:ind w:left="720"/>
    </w:pPr>
    <w:rPr>
      <w:rFonts w:ascii="Arial" w:hAnsi="Arial" w:cs="Arial"/>
      <w:sz w:val="24"/>
      <w:szCs w:val="24"/>
    </w:rPr>
  </w:style>
  <w:style w:type="character" w:styleId="CommentReference">
    <w:name w:val="annotation reference"/>
    <w:basedOn w:val="DefaultParagraphFont"/>
    <w:uiPriority w:val="99"/>
    <w:semiHidden/>
    <w:unhideWhenUsed/>
    <w:rsid w:val="008066A8"/>
    <w:rPr>
      <w:sz w:val="16"/>
      <w:szCs w:val="16"/>
    </w:rPr>
  </w:style>
  <w:style w:type="paragraph" w:styleId="CommentText">
    <w:name w:val="annotation text"/>
    <w:basedOn w:val="Normal"/>
    <w:link w:val="CommentTextChar"/>
    <w:uiPriority w:val="99"/>
    <w:semiHidden/>
    <w:unhideWhenUsed/>
    <w:rsid w:val="008066A8"/>
    <w:pPr>
      <w:spacing w:line="240" w:lineRule="auto"/>
    </w:pPr>
    <w:rPr>
      <w:sz w:val="20"/>
      <w:szCs w:val="20"/>
    </w:rPr>
  </w:style>
  <w:style w:type="character" w:customStyle="1" w:styleId="CommentTextChar">
    <w:name w:val="Comment Text Char"/>
    <w:basedOn w:val="DefaultParagraphFont"/>
    <w:link w:val="CommentText"/>
    <w:uiPriority w:val="99"/>
    <w:semiHidden/>
    <w:rsid w:val="008066A8"/>
    <w:rPr>
      <w:sz w:val="20"/>
      <w:szCs w:val="20"/>
    </w:rPr>
  </w:style>
  <w:style w:type="paragraph" w:styleId="CommentSubject">
    <w:name w:val="annotation subject"/>
    <w:basedOn w:val="CommentText"/>
    <w:next w:val="CommentText"/>
    <w:link w:val="CommentSubjectChar"/>
    <w:uiPriority w:val="99"/>
    <w:semiHidden/>
    <w:unhideWhenUsed/>
    <w:rsid w:val="008066A8"/>
    <w:rPr>
      <w:b/>
      <w:bCs/>
    </w:rPr>
  </w:style>
  <w:style w:type="character" w:customStyle="1" w:styleId="CommentSubjectChar">
    <w:name w:val="Comment Subject Char"/>
    <w:basedOn w:val="CommentTextChar"/>
    <w:link w:val="CommentSubject"/>
    <w:uiPriority w:val="99"/>
    <w:semiHidden/>
    <w:rsid w:val="008066A8"/>
    <w:rPr>
      <w:b/>
      <w:bCs/>
      <w:sz w:val="20"/>
      <w:szCs w:val="20"/>
    </w:rPr>
  </w:style>
  <w:style w:type="paragraph" w:styleId="Revision">
    <w:name w:val="Revision"/>
    <w:hidden/>
    <w:uiPriority w:val="99"/>
    <w:semiHidden/>
    <w:rsid w:val="00C31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F02ED"/>
    <w:pPr>
      <w:keepNext/>
      <w:spacing w:after="0" w:line="240" w:lineRule="auto"/>
      <w:outlineLvl w:val="4"/>
    </w:pPr>
    <w:rPr>
      <w:rFonts w:ascii="Arial" w:eastAsia="Times New Roman" w:hAnsi="Arial" w:cs="Times New Roman"/>
      <w:b/>
      <w:bCs/>
      <w:color w:val="FFFF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CB"/>
    <w:rPr>
      <w:rFonts w:ascii="Tahoma" w:hAnsi="Tahoma" w:cs="Tahoma"/>
      <w:sz w:val="16"/>
      <w:szCs w:val="16"/>
    </w:rPr>
  </w:style>
  <w:style w:type="paragraph" w:styleId="Caption">
    <w:name w:val="caption"/>
    <w:basedOn w:val="Normal"/>
    <w:next w:val="Normal"/>
    <w:uiPriority w:val="35"/>
    <w:unhideWhenUsed/>
    <w:qFormat/>
    <w:rsid w:val="009D1FCB"/>
    <w:pPr>
      <w:spacing w:line="240" w:lineRule="auto"/>
    </w:pPr>
    <w:rPr>
      <w:b/>
      <w:bCs/>
      <w:color w:val="4F81BD" w:themeColor="accent1"/>
      <w:sz w:val="18"/>
      <w:szCs w:val="18"/>
    </w:rPr>
  </w:style>
  <w:style w:type="paragraph" w:styleId="Header">
    <w:name w:val="header"/>
    <w:basedOn w:val="Normal"/>
    <w:link w:val="HeaderChar"/>
    <w:unhideWhenUsed/>
    <w:rsid w:val="00474CB3"/>
    <w:pPr>
      <w:tabs>
        <w:tab w:val="center" w:pos="4513"/>
        <w:tab w:val="right" w:pos="9026"/>
      </w:tabs>
      <w:spacing w:after="0" w:line="240" w:lineRule="auto"/>
    </w:pPr>
  </w:style>
  <w:style w:type="character" w:customStyle="1" w:styleId="HeaderChar">
    <w:name w:val="Header Char"/>
    <w:basedOn w:val="DefaultParagraphFont"/>
    <w:link w:val="Header"/>
    <w:rsid w:val="00474CB3"/>
  </w:style>
  <w:style w:type="paragraph" w:styleId="Footer">
    <w:name w:val="footer"/>
    <w:basedOn w:val="Normal"/>
    <w:link w:val="FooterChar"/>
    <w:uiPriority w:val="99"/>
    <w:unhideWhenUsed/>
    <w:rsid w:val="0047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B3"/>
  </w:style>
  <w:style w:type="character" w:customStyle="1" w:styleId="Heading5Char">
    <w:name w:val="Heading 5 Char"/>
    <w:basedOn w:val="DefaultParagraphFont"/>
    <w:link w:val="Heading5"/>
    <w:rsid w:val="00AF02ED"/>
    <w:rPr>
      <w:rFonts w:ascii="Arial" w:eastAsia="Times New Roman" w:hAnsi="Arial" w:cs="Times New Roman"/>
      <w:b/>
      <w:bCs/>
      <w:color w:val="FFFFFF"/>
      <w:sz w:val="28"/>
      <w:szCs w:val="24"/>
    </w:rPr>
  </w:style>
  <w:style w:type="paragraph" w:styleId="ListParagraph">
    <w:name w:val="List Paragraph"/>
    <w:basedOn w:val="Normal"/>
    <w:uiPriority w:val="34"/>
    <w:qFormat/>
    <w:rsid w:val="00667AD5"/>
    <w:pPr>
      <w:spacing w:after="0" w:line="240" w:lineRule="auto"/>
      <w:ind w:left="720"/>
    </w:pPr>
    <w:rPr>
      <w:rFonts w:ascii="Arial" w:hAnsi="Arial" w:cs="Arial"/>
      <w:sz w:val="24"/>
      <w:szCs w:val="24"/>
    </w:rPr>
  </w:style>
  <w:style w:type="character" w:styleId="CommentReference">
    <w:name w:val="annotation reference"/>
    <w:basedOn w:val="DefaultParagraphFont"/>
    <w:uiPriority w:val="99"/>
    <w:semiHidden/>
    <w:unhideWhenUsed/>
    <w:rsid w:val="008066A8"/>
    <w:rPr>
      <w:sz w:val="16"/>
      <w:szCs w:val="16"/>
    </w:rPr>
  </w:style>
  <w:style w:type="paragraph" w:styleId="CommentText">
    <w:name w:val="annotation text"/>
    <w:basedOn w:val="Normal"/>
    <w:link w:val="CommentTextChar"/>
    <w:uiPriority w:val="99"/>
    <w:semiHidden/>
    <w:unhideWhenUsed/>
    <w:rsid w:val="008066A8"/>
    <w:pPr>
      <w:spacing w:line="240" w:lineRule="auto"/>
    </w:pPr>
    <w:rPr>
      <w:sz w:val="20"/>
      <w:szCs w:val="20"/>
    </w:rPr>
  </w:style>
  <w:style w:type="character" w:customStyle="1" w:styleId="CommentTextChar">
    <w:name w:val="Comment Text Char"/>
    <w:basedOn w:val="DefaultParagraphFont"/>
    <w:link w:val="CommentText"/>
    <w:uiPriority w:val="99"/>
    <w:semiHidden/>
    <w:rsid w:val="008066A8"/>
    <w:rPr>
      <w:sz w:val="20"/>
      <w:szCs w:val="20"/>
    </w:rPr>
  </w:style>
  <w:style w:type="paragraph" w:styleId="CommentSubject">
    <w:name w:val="annotation subject"/>
    <w:basedOn w:val="CommentText"/>
    <w:next w:val="CommentText"/>
    <w:link w:val="CommentSubjectChar"/>
    <w:uiPriority w:val="99"/>
    <w:semiHidden/>
    <w:unhideWhenUsed/>
    <w:rsid w:val="008066A8"/>
    <w:rPr>
      <w:b/>
      <w:bCs/>
    </w:rPr>
  </w:style>
  <w:style w:type="character" w:customStyle="1" w:styleId="CommentSubjectChar">
    <w:name w:val="Comment Subject Char"/>
    <w:basedOn w:val="CommentTextChar"/>
    <w:link w:val="CommentSubject"/>
    <w:uiPriority w:val="99"/>
    <w:semiHidden/>
    <w:rsid w:val="008066A8"/>
    <w:rPr>
      <w:b/>
      <w:bCs/>
      <w:sz w:val="20"/>
      <w:szCs w:val="20"/>
    </w:rPr>
  </w:style>
  <w:style w:type="paragraph" w:styleId="Revision">
    <w:name w:val="Revision"/>
    <w:hidden/>
    <w:uiPriority w:val="99"/>
    <w:semiHidden/>
    <w:rsid w:val="00C31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B7C879-56F4-4093-ADA5-91D4A43CBFF9}"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GB"/>
        </a:p>
      </dgm:t>
    </dgm:pt>
    <dgm:pt modelId="{489D9ED2-F662-4D88-8C79-48B317DEE115}">
      <dgm:prSet phldrT="[Text]"/>
      <dgm:spPr>
        <a:xfrm>
          <a:off x="2136427" y="1105851"/>
          <a:ext cx="1213544" cy="12135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Risk Management Strategy &amp; Operating framework</a:t>
          </a:r>
        </a:p>
      </dgm:t>
    </dgm:pt>
    <dgm:pt modelId="{8CFFECDE-1F4E-413C-B5ED-2995DBF0465E}" type="parTrans" cxnId="{8A5479C5-3A7F-4486-8AF9-AA025DE4B42B}">
      <dgm:prSet/>
      <dgm:spPr/>
      <dgm:t>
        <a:bodyPr/>
        <a:lstStyle/>
        <a:p>
          <a:endParaRPr lang="en-GB"/>
        </a:p>
      </dgm:t>
    </dgm:pt>
    <dgm:pt modelId="{ADB217A9-9AF3-43AC-8D82-8D6835DA7731}" type="sibTrans" cxnId="{8A5479C5-3A7F-4486-8AF9-AA025DE4B42B}">
      <dgm:prSet/>
      <dgm:spPr/>
      <dgm:t>
        <a:bodyPr/>
        <a:lstStyle/>
        <a:p>
          <a:endParaRPr lang="en-GB"/>
        </a:p>
      </dgm:t>
    </dgm:pt>
    <dgm:pt modelId="{8C2AA39B-9E64-48B6-982F-845B5D7FC93F}">
      <dgm:prSet phldrT="[Text]"/>
      <dgm:spPr>
        <a:xfrm>
          <a:off x="2318459" y="1335"/>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Identification</a:t>
          </a:r>
        </a:p>
      </dgm:t>
    </dgm:pt>
    <dgm:pt modelId="{DB668DB2-B120-4AA6-B70D-E822B40D7AE9}" type="parTrans" cxnId="{170FAF73-75B6-45DE-9A2A-7FB76FF434DA}">
      <dgm:prSet/>
      <dgm:spPr/>
      <dgm:t>
        <a:bodyPr/>
        <a:lstStyle/>
        <a:p>
          <a:endParaRPr lang="en-GB"/>
        </a:p>
      </dgm:t>
    </dgm:pt>
    <dgm:pt modelId="{460994BA-7D5E-4F15-B57E-FF79AD559D64}" type="sibTrans" cxnId="{170FAF73-75B6-45DE-9A2A-7FB76FF434DA}">
      <dgm:prSet/>
      <dgm:spPr>
        <a:xfrm>
          <a:off x="1426071" y="395494"/>
          <a:ext cx="2634257" cy="2634257"/>
        </a:xfrm>
        <a:prstGeom prst="blockArc">
          <a:avLst>
            <a:gd name="adj1" fmla="val 16200000"/>
            <a:gd name="adj2" fmla="val 20520000"/>
            <a:gd name="adj3" fmla="val 4644"/>
          </a:avLst>
        </a:prstGeom>
        <a:solidFill>
          <a:srgbClr val="4F81BD">
            <a:tint val="60000"/>
            <a:hueOff val="0"/>
            <a:satOff val="0"/>
            <a:lumOff val="0"/>
            <a:alphaOff val="0"/>
          </a:srgbClr>
        </a:solidFill>
        <a:ln>
          <a:noFill/>
        </a:ln>
        <a:effectLst/>
      </dgm:spPr>
      <dgm:t>
        <a:bodyPr/>
        <a:lstStyle/>
        <a:p>
          <a:endParaRPr lang="en-GB"/>
        </a:p>
      </dgm:t>
    </dgm:pt>
    <dgm:pt modelId="{84978D1C-40E4-4C86-863D-B2DE21182C6A}">
      <dgm:prSet phldrT="[Text]"/>
      <dgm:spPr>
        <a:xfrm>
          <a:off x="3542038" y="890317"/>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Risk Analysis</a:t>
          </a:r>
        </a:p>
      </dgm:t>
    </dgm:pt>
    <dgm:pt modelId="{C9A8BF04-BC1B-42E0-8DBD-DF84D18700C1}" type="parTrans" cxnId="{B6009F9E-D2C9-4847-B5AA-FE605C189E83}">
      <dgm:prSet/>
      <dgm:spPr/>
      <dgm:t>
        <a:bodyPr/>
        <a:lstStyle/>
        <a:p>
          <a:endParaRPr lang="en-GB"/>
        </a:p>
      </dgm:t>
    </dgm:pt>
    <dgm:pt modelId="{2EA99FBE-D76C-4D5F-88BE-A63072A84E55}" type="sibTrans" cxnId="{B6009F9E-D2C9-4847-B5AA-FE605C189E83}">
      <dgm:prSet/>
      <dgm:spPr>
        <a:xfrm>
          <a:off x="1426071" y="395494"/>
          <a:ext cx="2634257" cy="2634257"/>
        </a:xfrm>
        <a:prstGeom prst="blockArc">
          <a:avLst>
            <a:gd name="adj1" fmla="val 20520000"/>
            <a:gd name="adj2" fmla="val 3240000"/>
            <a:gd name="adj3" fmla="val 4644"/>
          </a:avLst>
        </a:prstGeom>
        <a:solidFill>
          <a:srgbClr val="4F81BD">
            <a:tint val="60000"/>
            <a:hueOff val="0"/>
            <a:satOff val="0"/>
            <a:lumOff val="0"/>
            <a:alphaOff val="0"/>
          </a:srgbClr>
        </a:solidFill>
        <a:ln>
          <a:noFill/>
        </a:ln>
        <a:effectLst/>
      </dgm:spPr>
      <dgm:t>
        <a:bodyPr/>
        <a:lstStyle/>
        <a:p>
          <a:endParaRPr lang="en-GB"/>
        </a:p>
      </dgm:t>
    </dgm:pt>
    <dgm:pt modelId="{2FA0D30E-891F-44C8-AFD5-4E00DB8F2728}">
      <dgm:prSet phldrT="[Text]"/>
      <dgm:spPr>
        <a:xfrm>
          <a:off x="3074673" y="2328721"/>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Evaluation &amp; Prioritisation</a:t>
          </a:r>
        </a:p>
      </dgm:t>
    </dgm:pt>
    <dgm:pt modelId="{E16B7068-99AD-49F4-B71A-3C6FF7706EA0}" type="parTrans" cxnId="{57EC63B9-8F98-4234-8B87-5AE2B7934F90}">
      <dgm:prSet/>
      <dgm:spPr/>
      <dgm:t>
        <a:bodyPr/>
        <a:lstStyle/>
        <a:p>
          <a:endParaRPr lang="en-GB"/>
        </a:p>
      </dgm:t>
    </dgm:pt>
    <dgm:pt modelId="{7DD69E1F-8374-4966-8F7C-380191FAB170}" type="sibTrans" cxnId="{57EC63B9-8F98-4234-8B87-5AE2B7934F90}">
      <dgm:prSet/>
      <dgm:spPr>
        <a:xfrm>
          <a:off x="1426071" y="395494"/>
          <a:ext cx="2634257" cy="2634257"/>
        </a:xfrm>
        <a:prstGeom prst="blockArc">
          <a:avLst>
            <a:gd name="adj1" fmla="val 3240000"/>
            <a:gd name="adj2" fmla="val 7560000"/>
            <a:gd name="adj3" fmla="val 4644"/>
          </a:avLst>
        </a:prstGeom>
        <a:solidFill>
          <a:srgbClr val="4F81BD">
            <a:tint val="60000"/>
            <a:hueOff val="0"/>
            <a:satOff val="0"/>
            <a:lumOff val="0"/>
            <a:alphaOff val="0"/>
          </a:srgbClr>
        </a:solidFill>
        <a:ln>
          <a:noFill/>
        </a:ln>
        <a:effectLst/>
      </dgm:spPr>
      <dgm:t>
        <a:bodyPr/>
        <a:lstStyle/>
        <a:p>
          <a:endParaRPr lang="en-GB"/>
        </a:p>
      </dgm:t>
    </dgm:pt>
    <dgm:pt modelId="{9921EAF5-A139-4575-84AD-71E51E950776}">
      <dgm:prSet phldrT="[Text]"/>
      <dgm:spPr>
        <a:xfrm>
          <a:off x="1562245" y="2328721"/>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Management of Risk action plans </a:t>
          </a:r>
        </a:p>
      </dgm:t>
    </dgm:pt>
    <dgm:pt modelId="{11BDE445-9432-4134-9322-2733DB299A47}" type="parTrans" cxnId="{01236DF5-4297-44EC-8BB6-6BD62380D8C2}">
      <dgm:prSet/>
      <dgm:spPr/>
      <dgm:t>
        <a:bodyPr/>
        <a:lstStyle/>
        <a:p>
          <a:endParaRPr lang="en-GB"/>
        </a:p>
      </dgm:t>
    </dgm:pt>
    <dgm:pt modelId="{227FABFC-DBC6-431D-8802-9D1749CED51D}" type="sibTrans" cxnId="{01236DF5-4297-44EC-8BB6-6BD62380D8C2}">
      <dgm:prSet/>
      <dgm:spPr>
        <a:xfrm>
          <a:off x="1426071" y="395494"/>
          <a:ext cx="2634257" cy="2634257"/>
        </a:xfrm>
        <a:prstGeom prst="blockArc">
          <a:avLst>
            <a:gd name="adj1" fmla="val 7560000"/>
            <a:gd name="adj2" fmla="val 11880000"/>
            <a:gd name="adj3" fmla="val 4644"/>
          </a:avLst>
        </a:prstGeom>
        <a:solidFill>
          <a:srgbClr val="4F81BD">
            <a:tint val="60000"/>
            <a:hueOff val="0"/>
            <a:satOff val="0"/>
            <a:lumOff val="0"/>
            <a:alphaOff val="0"/>
          </a:srgbClr>
        </a:solidFill>
        <a:ln>
          <a:noFill/>
        </a:ln>
        <a:effectLst/>
      </dgm:spPr>
      <dgm:t>
        <a:bodyPr/>
        <a:lstStyle/>
        <a:p>
          <a:endParaRPr lang="en-GB"/>
        </a:p>
      </dgm:t>
    </dgm:pt>
    <dgm:pt modelId="{1EF18FFE-5D24-4694-9AF1-2F2CB7BCF816}">
      <dgm:prSet phldrT="[Text]"/>
      <dgm:spPr>
        <a:xfrm>
          <a:off x="1094880" y="890317"/>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Monitoring</a:t>
          </a:r>
        </a:p>
      </dgm:t>
    </dgm:pt>
    <dgm:pt modelId="{BBFF2380-FC4D-4890-82CD-9CA754975A5B}" type="parTrans" cxnId="{714D231C-615C-45AB-A52E-B66389A9EDB1}">
      <dgm:prSet/>
      <dgm:spPr/>
      <dgm:t>
        <a:bodyPr/>
        <a:lstStyle/>
        <a:p>
          <a:endParaRPr lang="en-GB"/>
        </a:p>
      </dgm:t>
    </dgm:pt>
    <dgm:pt modelId="{E165CDBD-502C-4ED8-975D-411C73D088EE}" type="sibTrans" cxnId="{714D231C-615C-45AB-A52E-B66389A9EDB1}">
      <dgm:prSet/>
      <dgm:spPr>
        <a:xfrm>
          <a:off x="1426071" y="395494"/>
          <a:ext cx="2634257" cy="2634257"/>
        </a:xfrm>
        <a:prstGeom prst="blockArc">
          <a:avLst>
            <a:gd name="adj1" fmla="val 11880000"/>
            <a:gd name="adj2" fmla="val 16200000"/>
            <a:gd name="adj3" fmla="val 4644"/>
          </a:avLst>
        </a:prstGeom>
        <a:solidFill>
          <a:srgbClr val="4F81BD">
            <a:tint val="60000"/>
            <a:hueOff val="0"/>
            <a:satOff val="0"/>
            <a:lumOff val="0"/>
            <a:alphaOff val="0"/>
          </a:srgbClr>
        </a:solidFill>
        <a:ln>
          <a:noFill/>
        </a:ln>
        <a:effectLst/>
      </dgm:spPr>
      <dgm:t>
        <a:bodyPr/>
        <a:lstStyle/>
        <a:p>
          <a:endParaRPr lang="en-GB"/>
        </a:p>
      </dgm:t>
    </dgm:pt>
    <dgm:pt modelId="{7BAC1677-87FD-4379-8630-61D26461AC43}" type="pres">
      <dgm:prSet presAssocID="{38B7C879-56F4-4093-ADA5-91D4A43CBFF9}" presName="Name0" presStyleCnt="0">
        <dgm:presLayoutVars>
          <dgm:chMax val="1"/>
          <dgm:dir/>
          <dgm:animLvl val="ctr"/>
          <dgm:resizeHandles val="exact"/>
        </dgm:presLayoutVars>
      </dgm:prSet>
      <dgm:spPr/>
      <dgm:t>
        <a:bodyPr/>
        <a:lstStyle/>
        <a:p>
          <a:endParaRPr lang="en-GB"/>
        </a:p>
      </dgm:t>
    </dgm:pt>
    <dgm:pt modelId="{14DAC807-E57D-4465-854F-EFD682533917}" type="pres">
      <dgm:prSet presAssocID="{489D9ED2-F662-4D88-8C79-48B317DEE115}" presName="centerShape" presStyleLbl="node0" presStyleIdx="0" presStyleCnt="1"/>
      <dgm:spPr/>
      <dgm:t>
        <a:bodyPr/>
        <a:lstStyle/>
        <a:p>
          <a:endParaRPr lang="en-GB"/>
        </a:p>
      </dgm:t>
    </dgm:pt>
    <dgm:pt modelId="{45E8F8DA-D815-4DCF-9B0D-FECA7820CA4A}" type="pres">
      <dgm:prSet presAssocID="{8C2AA39B-9E64-48B6-982F-845B5D7FC93F}" presName="node" presStyleLbl="node1" presStyleIdx="0" presStyleCnt="5">
        <dgm:presLayoutVars>
          <dgm:bulletEnabled val="1"/>
        </dgm:presLayoutVars>
      </dgm:prSet>
      <dgm:spPr/>
      <dgm:t>
        <a:bodyPr/>
        <a:lstStyle/>
        <a:p>
          <a:endParaRPr lang="en-GB"/>
        </a:p>
      </dgm:t>
    </dgm:pt>
    <dgm:pt modelId="{C0CAF9F5-5485-4808-AC16-EEA1E77DB4E8}" type="pres">
      <dgm:prSet presAssocID="{8C2AA39B-9E64-48B6-982F-845B5D7FC93F}" presName="dummy" presStyleCnt="0"/>
      <dgm:spPr/>
    </dgm:pt>
    <dgm:pt modelId="{B8168B22-3081-4733-808C-4469F38E7FA6}" type="pres">
      <dgm:prSet presAssocID="{460994BA-7D5E-4F15-B57E-FF79AD559D64}" presName="sibTrans" presStyleLbl="sibTrans2D1" presStyleIdx="0" presStyleCnt="5"/>
      <dgm:spPr/>
      <dgm:t>
        <a:bodyPr/>
        <a:lstStyle/>
        <a:p>
          <a:endParaRPr lang="en-GB"/>
        </a:p>
      </dgm:t>
    </dgm:pt>
    <dgm:pt modelId="{20D39B4E-315A-4ADF-9E66-80865A62EABE}" type="pres">
      <dgm:prSet presAssocID="{84978D1C-40E4-4C86-863D-B2DE21182C6A}" presName="node" presStyleLbl="node1" presStyleIdx="1" presStyleCnt="5">
        <dgm:presLayoutVars>
          <dgm:bulletEnabled val="1"/>
        </dgm:presLayoutVars>
      </dgm:prSet>
      <dgm:spPr/>
      <dgm:t>
        <a:bodyPr/>
        <a:lstStyle/>
        <a:p>
          <a:endParaRPr lang="en-GB"/>
        </a:p>
      </dgm:t>
    </dgm:pt>
    <dgm:pt modelId="{2089E796-2DDF-466A-BCF3-D1DEF7C5F247}" type="pres">
      <dgm:prSet presAssocID="{84978D1C-40E4-4C86-863D-B2DE21182C6A}" presName="dummy" presStyleCnt="0"/>
      <dgm:spPr/>
    </dgm:pt>
    <dgm:pt modelId="{BAAF0A45-359B-4026-BF8D-FFCAD1B2F248}" type="pres">
      <dgm:prSet presAssocID="{2EA99FBE-D76C-4D5F-88BE-A63072A84E55}" presName="sibTrans" presStyleLbl="sibTrans2D1" presStyleIdx="1" presStyleCnt="5"/>
      <dgm:spPr/>
      <dgm:t>
        <a:bodyPr/>
        <a:lstStyle/>
        <a:p>
          <a:endParaRPr lang="en-GB"/>
        </a:p>
      </dgm:t>
    </dgm:pt>
    <dgm:pt modelId="{3AC4DD85-270E-4FC6-B9B8-FE0006C60D83}" type="pres">
      <dgm:prSet presAssocID="{2FA0D30E-891F-44C8-AFD5-4E00DB8F2728}" presName="node" presStyleLbl="node1" presStyleIdx="2" presStyleCnt="5">
        <dgm:presLayoutVars>
          <dgm:bulletEnabled val="1"/>
        </dgm:presLayoutVars>
      </dgm:prSet>
      <dgm:spPr/>
      <dgm:t>
        <a:bodyPr/>
        <a:lstStyle/>
        <a:p>
          <a:endParaRPr lang="en-GB"/>
        </a:p>
      </dgm:t>
    </dgm:pt>
    <dgm:pt modelId="{B7C19942-6FEE-41EB-9F4A-0976FF117A6B}" type="pres">
      <dgm:prSet presAssocID="{2FA0D30E-891F-44C8-AFD5-4E00DB8F2728}" presName="dummy" presStyleCnt="0"/>
      <dgm:spPr/>
    </dgm:pt>
    <dgm:pt modelId="{D55038DF-3156-4296-82B2-CB862FEDA854}" type="pres">
      <dgm:prSet presAssocID="{7DD69E1F-8374-4966-8F7C-380191FAB170}" presName="sibTrans" presStyleLbl="sibTrans2D1" presStyleIdx="2" presStyleCnt="5"/>
      <dgm:spPr/>
      <dgm:t>
        <a:bodyPr/>
        <a:lstStyle/>
        <a:p>
          <a:endParaRPr lang="en-GB"/>
        </a:p>
      </dgm:t>
    </dgm:pt>
    <dgm:pt modelId="{BCD73670-6F36-4D4B-8833-0ACE8C4CB26A}" type="pres">
      <dgm:prSet presAssocID="{9921EAF5-A139-4575-84AD-71E51E950776}" presName="node" presStyleLbl="node1" presStyleIdx="3" presStyleCnt="5">
        <dgm:presLayoutVars>
          <dgm:bulletEnabled val="1"/>
        </dgm:presLayoutVars>
      </dgm:prSet>
      <dgm:spPr/>
      <dgm:t>
        <a:bodyPr/>
        <a:lstStyle/>
        <a:p>
          <a:endParaRPr lang="en-GB"/>
        </a:p>
      </dgm:t>
    </dgm:pt>
    <dgm:pt modelId="{35914001-C47A-41B6-B2A6-CD983E684C18}" type="pres">
      <dgm:prSet presAssocID="{9921EAF5-A139-4575-84AD-71E51E950776}" presName="dummy" presStyleCnt="0"/>
      <dgm:spPr/>
    </dgm:pt>
    <dgm:pt modelId="{EBC761B7-7ED3-467A-AA56-03CBAC6D37BF}" type="pres">
      <dgm:prSet presAssocID="{227FABFC-DBC6-431D-8802-9D1749CED51D}" presName="sibTrans" presStyleLbl="sibTrans2D1" presStyleIdx="3" presStyleCnt="5"/>
      <dgm:spPr/>
      <dgm:t>
        <a:bodyPr/>
        <a:lstStyle/>
        <a:p>
          <a:endParaRPr lang="en-GB"/>
        </a:p>
      </dgm:t>
    </dgm:pt>
    <dgm:pt modelId="{D6E6F433-5F16-45A3-B64B-FD686D56C4CA}" type="pres">
      <dgm:prSet presAssocID="{1EF18FFE-5D24-4694-9AF1-2F2CB7BCF816}" presName="node" presStyleLbl="node1" presStyleIdx="4" presStyleCnt="5">
        <dgm:presLayoutVars>
          <dgm:bulletEnabled val="1"/>
        </dgm:presLayoutVars>
      </dgm:prSet>
      <dgm:spPr/>
      <dgm:t>
        <a:bodyPr/>
        <a:lstStyle/>
        <a:p>
          <a:endParaRPr lang="en-GB"/>
        </a:p>
      </dgm:t>
    </dgm:pt>
    <dgm:pt modelId="{8B1BD139-7CBC-4EC0-B6CA-52E8776D2CEE}" type="pres">
      <dgm:prSet presAssocID="{1EF18FFE-5D24-4694-9AF1-2F2CB7BCF816}" presName="dummy" presStyleCnt="0"/>
      <dgm:spPr/>
    </dgm:pt>
    <dgm:pt modelId="{BCD5C6C5-2011-42D6-BFC3-5758E1978614}" type="pres">
      <dgm:prSet presAssocID="{E165CDBD-502C-4ED8-975D-411C73D088EE}" presName="sibTrans" presStyleLbl="sibTrans2D1" presStyleIdx="4" presStyleCnt="5"/>
      <dgm:spPr/>
      <dgm:t>
        <a:bodyPr/>
        <a:lstStyle/>
        <a:p>
          <a:endParaRPr lang="en-GB"/>
        </a:p>
      </dgm:t>
    </dgm:pt>
  </dgm:ptLst>
  <dgm:cxnLst>
    <dgm:cxn modelId="{8A5479C5-3A7F-4486-8AF9-AA025DE4B42B}" srcId="{38B7C879-56F4-4093-ADA5-91D4A43CBFF9}" destId="{489D9ED2-F662-4D88-8C79-48B317DEE115}" srcOrd="0" destOrd="0" parTransId="{8CFFECDE-1F4E-413C-B5ED-2995DBF0465E}" sibTransId="{ADB217A9-9AF3-43AC-8D82-8D6835DA7731}"/>
    <dgm:cxn modelId="{714D231C-615C-45AB-A52E-B66389A9EDB1}" srcId="{489D9ED2-F662-4D88-8C79-48B317DEE115}" destId="{1EF18FFE-5D24-4694-9AF1-2F2CB7BCF816}" srcOrd="4" destOrd="0" parTransId="{BBFF2380-FC4D-4890-82CD-9CA754975A5B}" sibTransId="{E165CDBD-502C-4ED8-975D-411C73D088EE}"/>
    <dgm:cxn modelId="{B6009F9E-D2C9-4847-B5AA-FE605C189E83}" srcId="{489D9ED2-F662-4D88-8C79-48B317DEE115}" destId="{84978D1C-40E4-4C86-863D-B2DE21182C6A}" srcOrd="1" destOrd="0" parTransId="{C9A8BF04-BC1B-42E0-8DBD-DF84D18700C1}" sibTransId="{2EA99FBE-D76C-4D5F-88BE-A63072A84E55}"/>
    <dgm:cxn modelId="{6A395145-0182-4311-BB5B-F9319B5CE957}" type="presOf" srcId="{8C2AA39B-9E64-48B6-982F-845B5D7FC93F}" destId="{45E8F8DA-D815-4DCF-9B0D-FECA7820CA4A}" srcOrd="0" destOrd="0" presId="urn:microsoft.com/office/officeart/2005/8/layout/radial6"/>
    <dgm:cxn modelId="{57EC63B9-8F98-4234-8B87-5AE2B7934F90}" srcId="{489D9ED2-F662-4D88-8C79-48B317DEE115}" destId="{2FA0D30E-891F-44C8-AFD5-4E00DB8F2728}" srcOrd="2" destOrd="0" parTransId="{E16B7068-99AD-49F4-B71A-3C6FF7706EA0}" sibTransId="{7DD69E1F-8374-4966-8F7C-380191FAB170}"/>
    <dgm:cxn modelId="{E74A89D6-91CA-4F23-98A4-E391EB0A81E3}" type="presOf" srcId="{38B7C879-56F4-4093-ADA5-91D4A43CBFF9}" destId="{7BAC1677-87FD-4379-8630-61D26461AC43}" srcOrd="0" destOrd="0" presId="urn:microsoft.com/office/officeart/2005/8/layout/radial6"/>
    <dgm:cxn modelId="{994FE6BC-7F59-4146-BEA3-B93ECC762379}" type="presOf" srcId="{489D9ED2-F662-4D88-8C79-48B317DEE115}" destId="{14DAC807-E57D-4465-854F-EFD682533917}" srcOrd="0" destOrd="0" presId="urn:microsoft.com/office/officeart/2005/8/layout/radial6"/>
    <dgm:cxn modelId="{BB279A28-35F3-4C99-9F83-586BF91F2EC2}" type="presOf" srcId="{7DD69E1F-8374-4966-8F7C-380191FAB170}" destId="{D55038DF-3156-4296-82B2-CB862FEDA854}" srcOrd="0" destOrd="0" presId="urn:microsoft.com/office/officeart/2005/8/layout/radial6"/>
    <dgm:cxn modelId="{170FAF73-75B6-45DE-9A2A-7FB76FF434DA}" srcId="{489D9ED2-F662-4D88-8C79-48B317DEE115}" destId="{8C2AA39B-9E64-48B6-982F-845B5D7FC93F}" srcOrd="0" destOrd="0" parTransId="{DB668DB2-B120-4AA6-B70D-E822B40D7AE9}" sibTransId="{460994BA-7D5E-4F15-B57E-FF79AD559D64}"/>
    <dgm:cxn modelId="{01236DF5-4297-44EC-8BB6-6BD62380D8C2}" srcId="{489D9ED2-F662-4D88-8C79-48B317DEE115}" destId="{9921EAF5-A139-4575-84AD-71E51E950776}" srcOrd="3" destOrd="0" parTransId="{11BDE445-9432-4134-9322-2733DB299A47}" sibTransId="{227FABFC-DBC6-431D-8802-9D1749CED51D}"/>
    <dgm:cxn modelId="{0F5789F9-1B08-41C5-91E5-4329F5614CF1}" type="presOf" srcId="{2EA99FBE-D76C-4D5F-88BE-A63072A84E55}" destId="{BAAF0A45-359B-4026-BF8D-FFCAD1B2F248}" srcOrd="0" destOrd="0" presId="urn:microsoft.com/office/officeart/2005/8/layout/radial6"/>
    <dgm:cxn modelId="{65D6434B-F991-4A6A-93C4-2AD073FAB043}" type="presOf" srcId="{84978D1C-40E4-4C86-863D-B2DE21182C6A}" destId="{20D39B4E-315A-4ADF-9E66-80865A62EABE}" srcOrd="0" destOrd="0" presId="urn:microsoft.com/office/officeart/2005/8/layout/radial6"/>
    <dgm:cxn modelId="{B072623F-A216-4B55-916C-2FDE8BBC6C58}" type="presOf" srcId="{2FA0D30E-891F-44C8-AFD5-4E00DB8F2728}" destId="{3AC4DD85-270E-4FC6-B9B8-FE0006C60D83}" srcOrd="0" destOrd="0" presId="urn:microsoft.com/office/officeart/2005/8/layout/radial6"/>
    <dgm:cxn modelId="{70F2E1C7-26F2-47BA-8F4C-ACF8B6D6DCA2}" type="presOf" srcId="{460994BA-7D5E-4F15-B57E-FF79AD559D64}" destId="{B8168B22-3081-4733-808C-4469F38E7FA6}" srcOrd="0" destOrd="0" presId="urn:microsoft.com/office/officeart/2005/8/layout/radial6"/>
    <dgm:cxn modelId="{DAFECA33-1783-4878-9D7F-14464B445C5C}" type="presOf" srcId="{9921EAF5-A139-4575-84AD-71E51E950776}" destId="{BCD73670-6F36-4D4B-8833-0ACE8C4CB26A}" srcOrd="0" destOrd="0" presId="urn:microsoft.com/office/officeart/2005/8/layout/radial6"/>
    <dgm:cxn modelId="{90468FF9-B746-42DA-802A-47E535F5AEF5}" type="presOf" srcId="{E165CDBD-502C-4ED8-975D-411C73D088EE}" destId="{BCD5C6C5-2011-42D6-BFC3-5758E1978614}" srcOrd="0" destOrd="0" presId="urn:microsoft.com/office/officeart/2005/8/layout/radial6"/>
    <dgm:cxn modelId="{2E9277BE-3E97-433A-A2F5-317603ADC9A3}" type="presOf" srcId="{1EF18FFE-5D24-4694-9AF1-2F2CB7BCF816}" destId="{D6E6F433-5F16-45A3-B64B-FD686D56C4CA}" srcOrd="0" destOrd="0" presId="urn:microsoft.com/office/officeart/2005/8/layout/radial6"/>
    <dgm:cxn modelId="{D1EB3B49-33FE-49C0-A53A-E93D37C67918}" type="presOf" srcId="{227FABFC-DBC6-431D-8802-9D1749CED51D}" destId="{EBC761B7-7ED3-467A-AA56-03CBAC6D37BF}" srcOrd="0" destOrd="0" presId="urn:microsoft.com/office/officeart/2005/8/layout/radial6"/>
    <dgm:cxn modelId="{48A68E28-5E34-40AF-8703-9E15E164337C}" type="presParOf" srcId="{7BAC1677-87FD-4379-8630-61D26461AC43}" destId="{14DAC807-E57D-4465-854F-EFD682533917}" srcOrd="0" destOrd="0" presId="urn:microsoft.com/office/officeart/2005/8/layout/radial6"/>
    <dgm:cxn modelId="{0918B12E-67FE-4178-A478-2A551F1B4F0C}" type="presParOf" srcId="{7BAC1677-87FD-4379-8630-61D26461AC43}" destId="{45E8F8DA-D815-4DCF-9B0D-FECA7820CA4A}" srcOrd="1" destOrd="0" presId="urn:microsoft.com/office/officeart/2005/8/layout/radial6"/>
    <dgm:cxn modelId="{A734A1C7-0660-46D1-B8D6-48A625F762CF}" type="presParOf" srcId="{7BAC1677-87FD-4379-8630-61D26461AC43}" destId="{C0CAF9F5-5485-4808-AC16-EEA1E77DB4E8}" srcOrd="2" destOrd="0" presId="urn:microsoft.com/office/officeart/2005/8/layout/radial6"/>
    <dgm:cxn modelId="{1CC9841E-4B86-403C-8E89-7C7002B4AEDE}" type="presParOf" srcId="{7BAC1677-87FD-4379-8630-61D26461AC43}" destId="{B8168B22-3081-4733-808C-4469F38E7FA6}" srcOrd="3" destOrd="0" presId="urn:microsoft.com/office/officeart/2005/8/layout/radial6"/>
    <dgm:cxn modelId="{E09D8006-0CD2-4554-B1A4-09C27F90B3B9}" type="presParOf" srcId="{7BAC1677-87FD-4379-8630-61D26461AC43}" destId="{20D39B4E-315A-4ADF-9E66-80865A62EABE}" srcOrd="4" destOrd="0" presId="urn:microsoft.com/office/officeart/2005/8/layout/radial6"/>
    <dgm:cxn modelId="{70723223-3F10-4A2E-AB7C-E8708D02B347}" type="presParOf" srcId="{7BAC1677-87FD-4379-8630-61D26461AC43}" destId="{2089E796-2DDF-466A-BCF3-D1DEF7C5F247}" srcOrd="5" destOrd="0" presId="urn:microsoft.com/office/officeart/2005/8/layout/radial6"/>
    <dgm:cxn modelId="{F1032849-4598-4CAD-93AF-13DA60171820}" type="presParOf" srcId="{7BAC1677-87FD-4379-8630-61D26461AC43}" destId="{BAAF0A45-359B-4026-BF8D-FFCAD1B2F248}" srcOrd="6" destOrd="0" presId="urn:microsoft.com/office/officeart/2005/8/layout/radial6"/>
    <dgm:cxn modelId="{B996DBA1-CCF9-45B6-913F-01603ADF8453}" type="presParOf" srcId="{7BAC1677-87FD-4379-8630-61D26461AC43}" destId="{3AC4DD85-270E-4FC6-B9B8-FE0006C60D83}" srcOrd="7" destOrd="0" presId="urn:microsoft.com/office/officeart/2005/8/layout/radial6"/>
    <dgm:cxn modelId="{58B59B21-D187-4147-B76B-119142271F58}" type="presParOf" srcId="{7BAC1677-87FD-4379-8630-61D26461AC43}" destId="{B7C19942-6FEE-41EB-9F4A-0976FF117A6B}" srcOrd="8" destOrd="0" presId="urn:microsoft.com/office/officeart/2005/8/layout/radial6"/>
    <dgm:cxn modelId="{1DE2FBED-AD80-4B39-A6EA-9CD6C46559D9}" type="presParOf" srcId="{7BAC1677-87FD-4379-8630-61D26461AC43}" destId="{D55038DF-3156-4296-82B2-CB862FEDA854}" srcOrd="9" destOrd="0" presId="urn:microsoft.com/office/officeart/2005/8/layout/radial6"/>
    <dgm:cxn modelId="{A138586B-5BBB-4BFB-814F-93ACE2E2E0C7}" type="presParOf" srcId="{7BAC1677-87FD-4379-8630-61D26461AC43}" destId="{BCD73670-6F36-4D4B-8833-0ACE8C4CB26A}" srcOrd="10" destOrd="0" presId="urn:microsoft.com/office/officeart/2005/8/layout/radial6"/>
    <dgm:cxn modelId="{02E58579-AFAA-42EA-9ABE-2476046B340D}" type="presParOf" srcId="{7BAC1677-87FD-4379-8630-61D26461AC43}" destId="{35914001-C47A-41B6-B2A6-CD983E684C18}" srcOrd="11" destOrd="0" presId="urn:microsoft.com/office/officeart/2005/8/layout/radial6"/>
    <dgm:cxn modelId="{6EC4BD3F-EBB9-4650-84E7-705FFB6794B1}" type="presParOf" srcId="{7BAC1677-87FD-4379-8630-61D26461AC43}" destId="{EBC761B7-7ED3-467A-AA56-03CBAC6D37BF}" srcOrd="12" destOrd="0" presId="urn:microsoft.com/office/officeart/2005/8/layout/radial6"/>
    <dgm:cxn modelId="{F8255C93-FF8D-478A-B169-6BDAE00DABAF}" type="presParOf" srcId="{7BAC1677-87FD-4379-8630-61D26461AC43}" destId="{D6E6F433-5F16-45A3-B64B-FD686D56C4CA}" srcOrd="13" destOrd="0" presId="urn:microsoft.com/office/officeart/2005/8/layout/radial6"/>
    <dgm:cxn modelId="{B1263E5C-9BC1-4CE3-A7F2-448FEBD403C2}" type="presParOf" srcId="{7BAC1677-87FD-4379-8630-61D26461AC43}" destId="{8B1BD139-7CBC-4EC0-B6CA-52E8776D2CEE}" srcOrd="14" destOrd="0" presId="urn:microsoft.com/office/officeart/2005/8/layout/radial6"/>
    <dgm:cxn modelId="{BBF7AE33-2A6B-4597-91FD-69500B25FE0A}" type="presParOf" srcId="{7BAC1677-87FD-4379-8630-61D26461AC43}" destId="{BCD5C6C5-2011-42D6-BFC3-5758E1978614}" srcOrd="15"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D5C6C5-2011-42D6-BFC3-5758E1978614}">
      <dsp:nvSpPr>
        <dsp:cNvPr id="0" name=""/>
        <dsp:cNvSpPr/>
      </dsp:nvSpPr>
      <dsp:spPr>
        <a:xfrm>
          <a:off x="1425560" y="395618"/>
          <a:ext cx="2635278" cy="2635278"/>
        </a:xfrm>
        <a:prstGeom prst="blockArc">
          <a:avLst>
            <a:gd name="adj1" fmla="val 11880000"/>
            <a:gd name="adj2" fmla="val 1620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BC761B7-7ED3-467A-AA56-03CBAC6D37BF}">
      <dsp:nvSpPr>
        <dsp:cNvPr id="0" name=""/>
        <dsp:cNvSpPr/>
      </dsp:nvSpPr>
      <dsp:spPr>
        <a:xfrm>
          <a:off x="1425560" y="395618"/>
          <a:ext cx="2635278" cy="2635278"/>
        </a:xfrm>
        <a:prstGeom prst="blockArc">
          <a:avLst>
            <a:gd name="adj1" fmla="val 7560000"/>
            <a:gd name="adj2" fmla="val 1188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55038DF-3156-4296-82B2-CB862FEDA854}">
      <dsp:nvSpPr>
        <dsp:cNvPr id="0" name=""/>
        <dsp:cNvSpPr/>
      </dsp:nvSpPr>
      <dsp:spPr>
        <a:xfrm>
          <a:off x="1425560" y="395618"/>
          <a:ext cx="2635278" cy="2635278"/>
        </a:xfrm>
        <a:prstGeom prst="blockArc">
          <a:avLst>
            <a:gd name="adj1" fmla="val 3240000"/>
            <a:gd name="adj2" fmla="val 756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AAF0A45-359B-4026-BF8D-FFCAD1B2F248}">
      <dsp:nvSpPr>
        <dsp:cNvPr id="0" name=""/>
        <dsp:cNvSpPr/>
      </dsp:nvSpPr>
      <dsp:spPr>
        <a:xfrm>
          <a:off x="1425560" y="395618"/>
          <a:ext cx="2635278" cy="2635278"/>
        </a:xfrm>
        <a:prstGeom prst="blockArc">
          <a:avLst>
            <a:gd name="adj1" fmla="val 20520000"/>
            <a:gd name="adj2" fmla="val 324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8168B22-3081-4733-808C-4469F38E7FA6}">
      <dsp:nvSpPr>
        <dsp:cNvPr id="0" name=""/>
        <dsp:cNvSpPr/>
      </dsp:nvSpPr>
      <dsp:spPr>
        <a:xfrm>
          <a:off x="1425560" y="395618"/>
          <a:ext cx="2635278" cy="2635278"/>
        </a:xfrm>
        <a:prstGeom prst="blockArc">
          <a:avLst>
            <a:gd name="adj1" fmla="val 16200000"/>
            <a:gd name="adj2" fmla="val 2052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4DAC807-E57D-4465-854F-EFD682533917}">
      <dsp:nvSpPr>
        <dsp:cNvPr id="0" name=""/>
        <dsp:cNvSpPr/>
      </dsp:nvSpPr>
      <dsp:spPr>
        <a:xfrm>
          <a:off x="2136427" y="1106486"/>
          <a:ext cx="1213544" cy="12135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Risk Management Strategy &amp; Operating framework</a:t>
          </a:r>
        </a:p>
      </dsp:txBody>
      <dsp:txXfrm>
        <a:off x="2314146" y="1284205"/>
        <a:ext cx="858106" cy="858106"/>
      </dsp:txXfrm>
    </dsp:sp>
    <dsp:sp modelId="{45E8F8DA-D815-4DCF-9B0D-FECA7820CA4A}">
      <dsp:nvSpPr>
        <dsp:cNvPr id="0" name=""/>
        <dsp:cNvSpPr/>
      </dsp:nvSpPr>
      <dsp:spPr>
        <a:xfrm>
          <a:off x="2318459" y="1459"/>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Identification</a:t>
          </a:r>
        </a:p>
      </dsp:txBody>
      <dsp:txXfrm>
        <a:off x="2442863" y="125863"/>
        <a:ext cx="600673" cy="600673"/>
      </dsp:txXfrm>
    </dsp:sp>
    <dsp:sp modelId="{20D39B4E-315A-4ADF-9E66-80865A62EABE}">
      <dsp:nvSpPr>
        <dsp:cNvPr id="0" name=""/>
        <dsp:cNvSpPr/>
      </dsp:nvSpPr>
      <dsp:spPr>
        <a:xfrm>
          <a:off x="3542524" y="890794"/>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Risk Analysis</a:t>
          </a:r>
        </a:p>
      </dsp:txBody>
      <dsp:txXfrm>
        <a:off x="3666928" y="1015198"/>
        <a:ext cx="600673" cy="600673"/>
      </dsp:txXfrm>
    </dsp:sp>
    <dsp:sp modelId="{3AC4DD85-270E-4FC6-B9B8-FE0006C60D83}">
      <dsp:nvSpPr>
        <dsp:cNvPr id="0" name=""/>
        <dsp:cNvSpPr/>
      </dsp:nvSpPr>
      <dsp:spPr>
        <a:xfrm>
          <a:off x="3074973" y="2329769"/>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Evaluation &amp; Prioritisation</a:t>
          </a:r>
        </a:p>
      </dsp:txBody>
      <dsp:txXfrm>
        <a:off x="3199377" y="2454173"/>
        <a:ext cx="600673" cy="600673"/>
      </dsp:txXfrm>
    </dsp:sp>
    <dsp:sp modelId="{BCD73670-6F36-4D4B-8833-0ACE8C4CB26A}">
      <dsp:nvSpPr>
        <dsp:cNvPr id="0" name=""/>
        <dsp:cNvSpPr/>
      </dsp:nvSpPr>
      <dsp:spPr>
        <a:xfrm>
          <a:off x="1561945" y="2329769"/>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Management of Risk action plans </a:t>
          </a:r>
        </a:p>
      </dsp:txBody>
      <dsp:txXfrm>
        <a:off x="1686349" y="2454173"/>
        <a:ext cx="600673" cy="600673"/>
      </dsp:txXfrm>
    </dsp:sp>
    <dsp:sp modelId="{D6E6F433-5F16-45A3-B64B-FD686D56C4CA}">
      <dsp:nvSpPr>
        <dsp:cNvPr id="0" name=""/>
        <dsp:cNvSpPr/>
      </dsp:nvSpPr>
      <dsp:spPr>
        <a:xfrm>
          <a:off x="1094394" y="890794"/>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Monitoring</a:t>
          </a:r>
        </a:p>
      </dsp:txBody>
      <dsp:txXfrm>
        <a:off x="1218798" y="1015198"/>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2C2AFC77834E31A390BAD2C097E1ED"/>
        <w:category>
          <w:name w:val="General"/>
          <w:gallery w:val="placeholder"/>
        </w:category>
        <w:types>
          <w:type w:val="bbPlcHdr"/>
        </w:types>
        <w:behaviors>
          <w:behavior w:val="content"/>
        </w:behaviors>
        <w:guid w:val="{E3433786-C5E5-4664-A775-8EA949365D67}"/>
      </w:docPartPr>
      <w:docPartBody>
        <w:p w:rsidR="004D05B9" w:rsidRDefault="00D10ADF" w:rsidP="00D10ADF">
          <w:pPr>
            <w:pStyle w:val="C32C2AFC77834E31A390BAD2C097E1E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DF"/>
    <w:rsid w:val="004D05B9"/>
    <w:rsid w:val="00D1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5DF05E8934B829F2AA4C6A89FB3A5">
    <w:name w:val="7695DF05E8934B829F2AA4C6A89FB3A5"/>
    <w:rsid w:val="00D10ADF"/>
  </w:style>
  <w:style w:type="paragraph" w:customStyle="1" w:styleId="39CB7C827197421F8F1A40418E31D570">
    <w:name w:val="39CB7C827197421F8F1A40418E31D570"/>
    <w:rsid w:val="00D10ADF"/>
  </w:style>
  <w:style w:type="paragraph" w:customStyle="1" w:styleId="C32C2AFC77834E31A390BAD2C097E1ED">
    <w:name w:val="C32C2AFC77834E31A390BAD2C097E1ED"/>
    <w:rsid w:val="00D10A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5DF05E8934B829F2AA4C6A89FB3A5">
    <w:name w:val="7695DF05E8934B829F2AA4C6A89FB3A5"/>
    <w:rsid w:val="00D10ADF"/>
  </w:style>
  <w:style w:type="paragraph" w:customStyle="1" w:styleId="39CB7C827197421F8F1A40418E31D570">
    <w:name w:val="39CB7C827197421F8F1A40418E31D570"/>
    <w:rsid w:val="00D10ADF"/>
  </w:style>
  <w:style w:type="paragraph" w:customStyle="1" w:styleId="C32C2AFC77834E31A390BAD2C097E1ED">
    <w:name w:val="C32C2AFC77834E31A390BAD2C097E1ED"/>
    <w:rsid w:val="00D10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798-6288-4DB6-9F1C-BEAD1A02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F523C580.dotm</Template>
  <TotalTime>2</TotalTime>
  <Pages>14</Pages>
  <Words>2531</Words>
  <Characters>13466</Characters>
  <Application>Microsoft Office Word</Application>
  <DocSecurity>0</DocSecurity>
  <Lines>748</Lines>
  <Paragraphs>390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emma.mace</dc:creator>
  <cp:lastModifiedBy>Sarah.Claridge</cp:lastModifiedBy>
  <cp:revision>3</cp:revision>
  <dcterms:created xsi:type="dcterms:W3CDTF">2014-11-21T14:00:00Z</dcterms:created>
  <dcterms:modified xsi:type="dcterms:W3CDTF">2014-11-24T15:28:00Z</dcterms:modified>
</cp:coreProperties>
</file>